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CE</w:t>
      </w:r>
      <w:r>
        <w:rPr>
          <w:rFonts w:ascii="Calibri" w:hAnsi="Calibri"/>
          <w:b/>
          <w:color w:val="1A2010"/>
          <w:sz w:val="40"/>
        </w:rPr>
        <w:t xml:space="preserve">  Celanese Corporation</w:t>
      </w:r>
    </w:p>
    <w:p>
      <w:pPr>
        <w:spacing w:after="120"/>
      </w:pPr>
      <w:r>
        <w:rPr>
          <w:rFonts w:ascii="Calibri" w:hAnsi="Calibri"/>
          <w:b/>
          <w:color w:val="6E8450"/>
          <w:sz w:val="18"/>
        </w:rPr>
        <w:t>GROWTH SLEEVE · 2026-04-13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NYSE · United States</w:t>
      </w:r>
    </w:p>
    <w:p>
      <w:pPr>
        <w:spacing w:after="80"/>
      </w:pPr>
      <w:r>
        <w:rPr>
          <w:rFonts w:ascii="Calibri" w:hAnsi="Calibri"/>
          <w:b w:val="0"/>
          <w:color w:val="3A4A28"/>
          <w:sz w:val="20"/>
        </w:rPr>
        <w:t>Celanese is a global specialty materials and chemical company producing acetyl products (acetic acid, vinyl acetate) and engineered materials (high-performance polymers, compounds). The company serves auto, medical, consumer, electrical, and industrial end markets through two segments: Engineered Materials and Acetyl Chain.</w:t>
      </w:r>
    </w:p>
    <w:p>
      <w:r>
        <w:rPr>
          <w:rFonts w:ascii="Calibri" w:hAnsi="Calibri"/>
          <w:b/>
          <w:color w:val="6E8450"/>
          <w:sz w:val="18"/>
        </w:rPr>
        <w:t>12,400 Employees · https://www.celanese.com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Celanese reported FY2025 net sales of $9.5B (down 7% YoY) with a GAAP diluted loss per share of $10.44 and adjusted EPS of $3.98 [1]. The company is still digesting the $11B 2022 acquisition of DuPont's Mobility &amp; Materials business, which has underperformed expectations. AI Deployment (2/2): Celanese launched an AI-driven customer platform for polymer grade selection and is deploying agentic AI across planning, scheduling, quality control, energy management, and asset maintenance targeting 15-25% cycle-time reduction and 20-40% first-pass yield improvement within 12 months [2]. Market Share (1/2): Leading global producer of acetic acid and vinyl acetate monomer, but engineered materials face intensifying Asian competition. Pipeline (0/2): Management refrained from specific 2026 guidance due to demand uncertainty; Q1 2026 adjusted EPS guided to just $0.70-$0.85 [1]. CEO Scott Richardson expects EPS growth of only $1-$2 in 2026 even under flat demand. R&amp;D Intensity (1/1): Maintains R&amp;D investment in specialty chemistry and materials science, anchoring agentic AI pilots with industry-leading ambitions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Celanese's stated mission around 'safe and sustainable materials' is genuine but not particularly differentiated within specialty chemicals [3]. The 2023-2024 Sustainability Report aligns with SASB, TCFD, and GRI standards, and the company runs a double materiality assessment under CSRD. Community Impact (1/2): 12,400 employees, growing sustainability focus, but operates in commodity chemicals with inherent environmental footprint. Employee Retention (1/2): Glassdoor shows 58% recommendation rate with 3.8/5 work-life balance but only 3.2/5 for career opportunities; employees cite lack of transparency from senior leadership and corporate politics impeding innovation [2]. Insider Buying (0/2): No notable insider buying; dividend was slashed to just $0.03/quarter (0.2% yield) as management redirected cash to debt paydown after the Mobility &amp; Materials acquisition.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Celanese's financial profile is severely strained. Revenue declined 7% to $9.5B in 2025 and the company posted a $1.17B net loss with profit margin of -11.8% and ROE of -50.5% [4][5]. Debt-to-equity is elevated at 255% following the $11B DuPont M&amp;M acquisition, constraining capital allocation flexibility [4]. PE of -5.96 reflects current losses; forward PE implied by $0.70-$0.85 Q1 guide suggests single-digit forward earnings power [1][4]. The dividend was cut 95% to $0.03/quarter ($0.12 annualized, 0.2% yield), signaling balance sheet stress. Stock at $63.22 with estimated avg volume ~2M shares/day clears the liquidity floor (~$126M daily traded) [4]. Free cash flow guidance of $650-$750M for 2026 is the one bright spot, but insufficient to rapidly de-lever.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Celanese is in survival mode after the over-leveraged DuPont M&amp;M acquisition. New CEO Scott Richardson (late 2024 transition) is executing a digital/operational transformation with genuine AI ambition, but the 95% dividend cut, $1.17B loss, and 255% D/E show the company is playing defense. Mixed mindset reflects long-term specialty chemicals positioning undercut by short-term balance sheet repair.</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'safe and sustainable materials' mission is authentic and codified in the 2023-2024 Sustainability Report aligned with SASB/TCFD/GRI [3]. However, the mission is diluted by commodity acetyl chain exposure, and the M&amp;M acquisition was a financial bet rather than a cause-driven expansion.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flag 'lack of transparency from senior leadership,' late communication of impactful decisions, and corporate politics that 'get in the way of teamwork and innovation' [2]. 58% would recommend the employer, and culture/values at 3.4/5 is middling for the industry.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Celanese acknowledges global acetyl competitors (LyondellBasell, BP, Sinopec) and engineered materials rivals (DuPont, SABIC, BASF) and cites them explicitly in capacity and pricing analyses. The agentic AI leadership claim positions peers as rivals to learn from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DuPont M&amp;M acquisition was an existential pivot into engineered materials, though execution has disappointed. The current digital transformation centered on agentic AI and a new operating model shows willingness to reinvent, with CEO and CIO jointly driving culture change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95% dividend cut to $0.03/quarter was a courageous capital allocation choice to prioritize deleveraging over shareholder optics [4]. However, management's refusal to provide 2026 full-year guidance suggests limited conviction in near-term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Celanese is a turnaround candidate trading near cycle lows, with new CEO Scott Richardson attempting to repair the balance sheet and reignite growth through an aggressive agentic AI-driven operational transformation [2]. FY2025 revenue of $9.5B and adjusted EPS of $3.98 establish a depressed baseline, and management has targeted $650-$750M in 2026 free cash flow to continue deleveraging after the dilutive $11B DuPont Mobility &amp; Materials acquisition [1]. Celanese's leadership in acetyl chain chemistry and engineered polymers provides real durable moats, and the AI platform for polymer grade selection plus 15-25% cycle-time reductions could meaningfully expand margins if executed [2]. At $63.22 with a trailing PE of -5.96 (negative due to 2025 losses), the stock discounts continued weakness, creating optionality if demand recovers.</w:t>
      </w:r>
    </w:p>
    <w:p>
      <w:pPr>
        <w:spacing w:after="120"/>
      </w:pPr>
      <w:r>
        <w:rPr>
          <w:rFonts w:ascii="Calibri" w:hAnsi="Calibri"/>
          <w:b w:val="0"/>
          <w:color w:val="3A4A28"/>
          <w:sz w:val="20"/>
        </w:rPr>
        <w:t>The bear case is the 255% debt-to-equity ratio, the -50.5% ROE, the 95% dividend cut to $0.03/quarter, and the lack of FY2026 guidance [1][4]. Management only expects EPS to grow $1-$2 in 2026, implying just $5-$6 of adjusted EPS against a stock price of $63 — a stretched ~11-12x forward multiple for a cyclical chemicals company with balance sheet strain. Glassdoor feedback about 'lack of transparency' and 'corporate politics' hampering innovation raises execution concerns about the agentic AI transformation [2]. Mobility &amp; Materials acquisition synergies have underdelivered, and another down-cycle in autos or construction could push the company into covenant-stress territory.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free cash flow delivery of $650-$750M and continued deleveraging from the DuPont M&amp;M acquisition, lowering interest expense and re-rating the equity [1]</w:t>
      </w:r>
    </w:p>
    <w:p>
      <w:pPr>
        <w:spacing w:before="40" w:after="40"/>
        <w:ind w:left="283"/>
      </w:pPr>
      <w:r>
        <w:rPr>
          <w:rFonts w:ascii="Calibri" w:hAnsi="Calibri"/>
          <w:b/>
          <w:color w:val="4A6B25"/>
          <w:sz w:val="20"/>
        </w:rPr>
        <w:t xml:space="preserve">2. </w:t>
      </w:r>
      <w:r>
        <w:rPr>
          <w:rFonts w:ascii="Calibri" w:hAnsi="Calibri"/>
          <w:b w:val="0"/>
          <w:color w:val="3A4A28"/>
          <w:sz w:val="20"/>
        </w:rPr>
        <w:t>Agentic AI program hitting 15-25% cycle-time and 20-40% first-pass yield targets in 2026, translating to margin expansion in engineered materials [2]</w:t>
      </w:r>
    </w:p>
    <w:p>
      <w:pPr>
        <w:spacing w:before="40" w:after="40"/>
        <w:ind w:left="283"/>
      </w:pPr>
      <w:r>
        <w:rPr>
          <w:rFonts w:ascii="Calibri" w:hAnsi="Calibri"/>
          <w:b/>
          <w:color w:val="4A6B25"/>
          <w:sz w:val="20"/>
        </w:rPr>
        <w:t xml:space="preserve">3. </w:t>
      </w:r>
      <w:r>
        <w:rPr>
          <w:rFonts w:ascii="Calibri" w:hAnsi="Calibri"/>
          <w:b w:val="0"/>
          <w:color w:val="3A4A28"/>
          <w:sz w:val="20"/>
        </w:rPr>
        <w:t>Industrial demand recovery in autos and electronics that would allow Celanese to push pricing and absorb fixed costs, turning EPS growth from $1-$2 into $4+ upside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255% debt-to-equity with negative ROE of -50.5% — another cyclical downturn could trigger covenant issues or equity dilution [4][5]</w:t>
      </w:r>
    </w:p>
    <w:p>
      <w:pPr>
        <w:spacing w:before="40" w:after="40"/>
        <w:ind w:left="283"/>
      </w:pPr>
      <w:r>
        <w:rPr>
          <w:rFonts w:ascii="Calibri" w:hAnsi="Calibri"/>
          <w:b/>
          <w:color w:val="4A6B25"/>
          <w:sz w:val="20"/>
        </w:rPr>
        <w:t xml:space="preserve">2. </w:t>
      </w:r>
      <w:r>
        <w:rPr>
          <w:rFonts w:ascii="Calibri" w:hAnsi="Calibri"/>
          <w:b w:val="0"/>
          <w:color w:val="3A4A28"/>
          <w:sz w:val="20"/>
        </w:rPr>
        <w:t>Mobility &amp; Materials acquisition continues to underperform plan, leaving Celanese with $11B of 2022-vintage debt against depressed earnings power [1]</w:t>
      </w:r>
    </w:p>
    <w:p>
      <w:pPr>
        <w:spacing w:before="40" w:after="40"/>
        <w:ind w:left="283"/>
      </w:pPr>
      <w:r>
        <w:rPr>
          <w:rFonts w:ascii="Calibri" w:hAnsi="Calibri"/>
          <w:b/>
          <w:color w:val="4A6B25"/>
          <w:sz w:val="20"/>
        </w:rPr>
        <w:t xml:space="preserve">3. </w:t>
      </w:r>
      <w:r>
        <w:rPr>
          <w:rFonts w:ascii="Calibri" w:hAnsi="Calibri"/>
          <w:b w:val="0"/>
          <w:color w:val="3A4A28"/>
          <w:sz w:val="20"/>
        </w:rPr>
        <w:t>Management declined to issue FY2026 guidance due to demand uncertainty, and Q1 2026 adjusted EPS guide of $0.70-$0.85 implies a slow recovery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Specialty chemicals production is physical, regulatory-heavy, and customer-co-engineered, which insulates it from direct AI disruption. AI actually benefits Celanese operationally via its agentic AI deployment in planning, quality, energy, and maintenance with measurable efficiency targets [2]. AI Opportunity (1/1): Celanese's AI-driven customer digital platform for product-grade selection represents a genuine competitive edge in a fragmented chemicals distribution landscape, with management highlighting Celanese as 'leading the pack in agentic AI' within chemicals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Celanese Corporation Q4 2025 / Full-Year 2025 Earnings Release, February 17, 2026 — $9.5B revenue, $3.98 adjusted EPS, $10.44 GAAP loss per share, Q1 2026 guide</w:t>
      </w:r>
    </w:p>
    <w:p>
      <w:pPr>
        <w:spacing w:before="20" w:after="20"/>
        <w:ind w:left="170"/>
      </w:pPr>
      <w:r>
        <w:rPr>
          <w:rFonts w:ascii="Calibri" w:hAnsi="Calibri"/>
          <w:b/>
          <w:color w:val="4A6B25"/>
          <w:sz w:val="15"/>
        </w:rPr>
        <w:t xml:space="preserve">2. </w:t>
      </w:r>
      <w:r>
        <w:rPr>
          <w:rFonts w:ascii="Calibri" w:hAnsi="Calibri"/>
          <w:b w:val="0"/>
          <w:color w:val="3A4A28"/>
          <w:sz w:val="17"/>
        </w:rPr>
        <w:t>CIO.com and GetTransport — Celanese agentic AI deployment, digital transformation, Glassdoor culture feedback</w:t>
      </w:r>
    </w:p>
    <w:p>
      <w:pPr>
        <w:spacing w:before="20" w:after="20"/>
        <w:ind w:left="170"/>
      </w:pPr>
      <w:r>
        <w:rPr>
          <w:rFonts w:ascii="Calibri" w:hAnsi="Calibri"/>
          <w:b/>
          <w:color w:val="4A6B25"/>
          <w:sz w:val="15"/>
        </w:rPr>
        <w:t xml:space="preserve">3. </w:t>
      </w:r>
      <w:r>
        <w:rPr>
          <w:rFonts w:ascii="Calibri" w:hAnsi="Calibri"/>
          <w:b w:val="0"/>
          <w:color w:val="3A4A28"/>
          <w:sz w:val="17"/>
        </w:rPr>
        <w:t>Celanese 2023-2024 Sustainability Report — SASB, TCFD, GRI alignment, double materiality assessment</w:t>
      </w:r>
    </w:p>
    <w:p>
      <w:pPr>
        <w:spacing w:before="20" w:after="20"/>
        <w:ind w:left="170"/>
      </w:pPr>
      <w:r>
        <w:rPr>
          <w:rFonts w:ascii="Calibri" w:hAnsi="Calibri"/>
          <w:b/>
          <w:color w:val="4A6B25"/>
          <w:sz w:val="15"/>
        </w:rPr>
        <w:t xml:space="preserve">4. </w:t>
      </w:r>
      <w:r>
        <w:rPr>
          <w:rFonts w:ascii="Calibri" w:hAnsi="Calibri"/>
          <w:b w:val="0"/>
          <w:color w:val="3A4A28"/>
          <w:sz w:val="17"/>
        </w:rPr>
        <w:t>Simply Wall St and MarketBeat — Celanese CE stock statistics: price $63.22, PE -5.96, D/E 2.55, dividend $0.03/quarter (0.2% yield), April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and Yahoo Finance CE key statistics — ROE -50.5%, profit margin -11.8%, market cap $5.5B, February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