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CFG</w:t>
      </w:r>
      <w:r>
        <w:rPr>
          <w:rFonts w:ascii="Calibri" w:hAnsi="Calibri"/>
          <w:b/>
          <w:color w:val="1A2010"/>
          <w:sz w:val="40"/>
        </w:rPr>
        <w:t xml:space="preserve">  Citizens Financial Group, Inc.</w:t>
      </w:r>
    </w:p>
    <w:p>
      <w:pPr>
        <w:spacing w:after="120"/>
      </w:pPr>
      <w:r>
        <w:rPr>
          <w:rFonts w:ascii="Calibri" w:hAnsi="Calibri"/>
          <w:b/>
          <w:color w:val="6E8450"/>
          <w:sz w:val="18"/>
        </w:rPr>
        <w:t>DIVIDEND SLEEVE · 2026-03-31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Citizens Financial Group is a $226B-asset bank holding company headquartered in Providence, Rhode Island, operating Consumer Banking and Commercial Banking segments. It offers retail deposits, mortgages, credit cards, wealth management, private banking, capital markets, and treasury services across the northeastern and mid-Atlantic United States.</w:t>
      </w:r>
    </w:p>
    <w:p>
      <w:r>
        <w:rPr>
          <w:rFonts w:ascii="Calibri" w:hAnsi="Calibri"/>
          <w:b/>
          <w:color w:val="6E8450"/>
          <w:sz w:val="18"/>
        </w:rPr>
        <w:t>17,398 Employees · https://www.citizensbank.com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Citizens has executed its 'Reimagining the Bank' multi-year transformation initiative, growing Private Bank deposits to $14.5B at 25% ROE by year-end 2025, and expanding capital markets and wealth management capabilities [1]. However, these are incremental extensions of a traditional banking model, not transformative pivots. AI Deployment (1/2): Citizens is deploying GenAI in call centers for agent prompting and document retrieval, developer productivity tools, and fraud detection, with a structured GenAI Council led by Chief Data Officer Krish Swamy [2]. These are internal efficiency plays, not customer-facing AI products generating new revenue. Market Share (1/2): Citizens is a meaningful mid-cap regional bank with $226B in assets but is not a category leader or fastest share gainer — it competes against much larger nationals (JPM, BAC) and nimble fintechs [1]. Pipeline (1/2): Citizens has a five-year GenAI vision and is expanding its Private Bank and capital markets franchises, but specific next-generation product launches with timelines are not publicly detailed [2]. R&amp;D Intensity (1/1): Technology investment is above-average for regional banks, with dedicated AI governance structures and a Chief Technology Officer driving modernization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Citizens' purpose is 'to help our customers, colleagues, and communities reach their potential' — clear and customer-focused but not distinctive among regional banks. It identifies stakeholders but does not articulate a transformative vision of a future state [3]. Community Impact (2/2): Citizens announced a $50B sustainable finance target including $5B in green financing by 2030 and committed to carbon neutrality by 2035 [3]. The bank has active community lending programs and seven Business Resource Groups with 21% employee participation. Employee Retention (1/2): Glassdoor rating of 3.8/5 with 70% recommending the employer is solid for financial services. Inclusion scores of 86% and 99% gender pay equity are positive, though Comparably rates the executive team in the bottom 15% of large employers [2]. Insider Buying (0/2): Recent insider transactions show predominantly stock award grants (compensation) and one notable sale by an officer ($769K in March 2026) [4]. No meaningful net insider buying evident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Citizens' financial profile is strong on valuation and profitability for a regional bank. Forward P/E of 9.5x is deeply discounted to the market, reflecting attractive value [5]. Profit margin of 24.0% is excellent for a bank, and revenue grew 10.7% YoY in the trailing period [1]. ROE of 7.2% is below the 15% target, reflecting the capital-intensive nature of banking (banks hold large equity buffers) [5]. Revenue 5yr CAGR of approximately 1% reflects the challenging 2022-2023 rate environment. Dividend payout ratio of 44.6% is slightly above the 40% target but sustainable. Citizens has paid dividends continuously since its 2014 IPO (~12 consecutive years), though consecutive growth years are limited to ~1 year after the 2025 increase to $0.46/quarter [4]. 5yr dividend growth CAGR of ~2.5% trails the 6% target. Liquidity floor easily cleared: 5.4M avg daily volume × $59.97 = $324M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Citizens under Bruce Van Saun plays a moderately infinite game — the 'Reimagining the Bank' initiative and Private Bank buildout reflect long-term thinking, but the company operates in a highly quarterly-focused industry with 80% capital return ratios that prioritize near-term shareholder satisfaction over transformative reinvestment.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Citizens' purpose of helping 'customers, colleagues, and communities reach their potential' is genuine but shallow — it reads as corporate boilerplate interchangeable with any regional bank [3]. The Private Bank expansion and sustainable finance targets suggest some intentionality beyond pure profit maximization, but the cause has not been tested through crisis or validated by decades of consistency. Citizens only became independent in 2014 (spun from RBS), so the institutional identity is still developing.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some positive signals. Glassdoor's 3.8/5 rating and 70% recommendation rate are slightly above industry average [2]. Inclusion scores of 86% and gender pay equity at 99% suggest genuine effort on psychological safety. However, negative reviews cite 'high pressure of being fired if aspirational goals aren't met' and siloed departments, indicating pockets of fear-based management. The Comparably executive team rating in the bottom 15% is a concerning signal about leadership trust.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Van Saun explicitly acknowledges that larger banks are spending more aggressively on AI and technology, positioning Citizens as a 'fast follower' that expects to benefit from 'turnkey solutions' developed by pioneers [2]. This framing — learning from rivals' strengths rather than dismissing them — reflects an infinite competitive mindset. Citizens also benchmarks against fintechs and adjusts its digital strategy accordingly.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Citizens has shown meaningful evolution since its 2014 IPO from a traditional branch-centric bank to a more diversified financial institution, building out Private Banking ($14.5B deposits), capital markets, and wealth management capabilities [1]. The 'Reimagining the Bank' initiative represents genuine strategic adaptation. However, these are incremental expansions within banking, not transformative reinventions of the business model. The core deposit-lending model remains unchanged.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Van Saun has made some courageous long-term bets — building the Private Bank from scratch to $14.5B in deposits at 25% ROE required sustained investment before profitability [1]. Withdrawing from the Energy Transfer Partners pipeline loan under activist pressure showed willingness to sacrifice near-term revenue for reputational alignment [3]. However, the 80% capital return ratio in 2025 suggests prioritization of near-term shareholder satisfaction over aggressive reinvestment.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Citizens Financial Group delivered strong Q4 2025 results with net income of $528M (up 32% YoY) and EPS of $1.13 (up 36% YoY), driven by fee growth in capital markets and wealth management, and the Private Bank reaching $14.5B in deposits at 25% ROE [1]. At 9.5x forward P/E with a 3.2% dividend yield, CFG offers compelling value for a bank posting double-digit earnings growth and generating positive operating leverage (up 5% in Q4) [5]. The 'Reimagining the Bank' strategy is bearing fruit, with $226B in assets, expanding fee-based revenue streams, and a methodical approach to AI-driven operational efficiency [2]. Revenue of $2.16B in Q4 (up 9.2% YoY) exceeded analyst expectations, and the quarterly dividend increase to $0.46/share signals management confidence in sustained earnings power [1].</w:t>
      </w:r>
    </w:p>
    <w:p>
      <w:pPr>
        <w:spacing w:after="120"/>
      </w:pPr>
      <w:r>
        <w:rPr>
          <w:rFonts w:ascii="Calibri" w:hAnsi="Calibri"/>
          <w:b w:val="0"/>
          <w:color w:val="3A4A28"/>
          <w:sz w:val="20"/>
        </w:rPr>
        <w:t>The bear case centers on Citizens' position as a mid-cap regional bank facing competitive pressure from both mega-banks (JPM, BAC with vastly larger technology budgets) and AI-native fintechs attacking consumer banking from below [2]. ROE of 7.2% is below cost of equity for most banks, suggesting the franchise is not yet generating adequate returns on capital despite recent improvement. Revenue 5yr CAGR of ~1% reflects structural headwinds in the rate-sensitive banking model — the recent 10.7% YoY growth may not sustain if rates normalize [5]. Dividend growth has been anemic (2.5% 5yr CAGR) with consecutive growth of only 1 year, undermining the income thesis. ESG controversies around fossil fuel lending and a low Inspire Impact Score of -67 may limit the investor base [3]. Commercial real estate exposure in the office and retail sectors remains a latent credit risk as the post-pandemic CRE adjustment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 Bank scaling toward profitability inflection — $14.5B deposits at 25% ROE could become a meaningful earnings driver as it grows within the $226B asset base [1]</w:t>
      </w:r>
    </w:p>
    <w:p>
      <w:pPr>
        <w:spacing w:before="40" w:after="40"/>
        <w:ind w:left="283"/>
      </w:pPr>
      <w:r>
        <w:rPr>
          <w:rFonts w:ascii="Calibri" w:hAnsi="Calibri"/>
          <w:b/>
          <w:color w:val="4A6B25"/>
          <w:sz w:val="20"/>
        </w:rPr>
        <w:t xml:space="preserve">2. </w:t>
      </w:r>
      <w:r>
        <w:rPr>
          <w:rFonts w:ascii="Calibri" w:hAnsi="Calibri"/>
          <w:b w:val="0"/>
          <w:color w:val="3A4A28"/>
          <w:sz w:val="20"/>
        </w:rPr>
        <w:t>Forward P/E of 9.5x implies significant upside if Citizens sustains 30%+ EPS growth through operating leverage and fee income diversification [5]</w:t>
      </w:r>
    </w:p>
    <w:p>
      <w:pPr>
        <w:spacing w:before="40" w:after="40"/>
        <w:ind w:left="283"/>
      </w:pPr>
      <w:r>
        <w:rPr>
          <w:rFonts w:ascii="Calibri" w:hAnsi="Calibri"/>
          <w:b/>
          <w:color w:val="4A6B25"/>
          <w:sz w:val="20"/>
        </w:rPr>
        <w:t xml:space="preserve">3. </w:t>
      </w:r>
      <w:r>
        <w:rPr>
          <w:rFonts w:ascii="Calibri" w:hAnsi="Calibri"/>
          <w:b w:val="0"/>
          <w:color w:val="3A4A28"/>
          <w:sz w:val="20"/>
        </w:rPr>
        <w:t>GenAI-driven operational efficiency gains across call centers, fraud detection, and developer productivity could compress the cost-to-income ratio over the next 2-3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7.2% remains below cost of equity — if earnings growth stalls, the stock's discount to book value (1.06x P/B) could widen further [5]</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concentration risk — office, retail, and healthcare CRE exposures face secular headwinds from remote work and e-commerce shifts</w:t>
      </w:r>
    </w:p>
    <w:p>
      <w:pPr>
        <w:spacing w:before="40" w:after="40"/>
        <w:ind w:left="283"/>
      </w:pPr>
      <w:r>
        <w:rPr>
          <w:rFonts w:ascii="Calibri" w:hAnsi="Calibri"/>
          <w:b/>
          <w:color w:val="4A6B25"/>
          <w:sz w:val="20"/>
        </w:rPr>
        <w:t xml:space="preserve">3. </w:t>
      </w:r>
      <w:r>
        <w:rPr>
          <w:rFonts w:ascii="Calibri" w:hAnsi="Calibri"/>
          <w:b w:val="0"/>
          <w:color w:val="3A4A28"/>
          <w:sz w:val="20"/>
        </w:rPr>
        <w:t>Technology spending gap versus mega-banks — JPMorgan spends $15B+ annually on technology versus Citizens' far smaller budget, creating a widening capabilities moat in AI, digital banking, and cybersecurity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moderately protected from AI disruption due to heavy regulation, physical branch infrastructure, and relationship-based commercial lending that requires human judgment and trust [2]. However, fintechs like Upstart, SoFi, and neobanks are using AI to automate underwriting, customer service, and deposit gathering — creating real competitive pressure on Citizens' consumer banking segment. Retail banking commoditized services (deposits, payments, simple lending) face substitution risk from AI-native competitors. Commercial banking and capital markets, where Citizens has been investing, are more defensible due to relationship complexity [1]. AI Opportunity (0/1): Citizens deploys AI internally for fraud detection and operational efficiency but does not generate meaningful AI-related revenue. Its AI survey and thought leadership content serve marketing purposes rather than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Citizens Financial Group Q4 2025 Earnings Release — $528M net income, $1.13 EPS, 32% YoY growth, January 21, 2026</w:t>
      </w:r>
    </w:p>
    <w:p>
      <w:pPr>
        <w:spacing w:before="20" w:after="20"/>
        <w:ind w:left="170"/>
      </w:pPr>
      <w:r>
        <w:rPr>
          <w:rFonts w:ascii="Calibri" w:hAnsi="Calibri"/>
          <w:b/>
          <w:color w:val="4A6B25"/>
          <w:sz w:val="15"/>
        </w:rPr>
        <w:t xml:space="preserve">2. </w:t>
      </w:r>
      <w:r>
        <w:rPr>
          <w:rFonts w:ascii="Calibri" w:hAnsi="Calibri"/>
          <w:b w:val="0"/>
          <w:color w:val="3A4A28"/>
          <w:sz w:val="17"/>
        </w:rPr>
        <w:t>Tearsheet — 'How Citizens Bank is building GenAI with a five-year vision'; Citizens AI survey and leadership interviews, 2025-2026</w:t>
      </w:r>
    </w:p>
    <w:p>
      <w:pPr>
        <w:spacing w:before="20" w:after="20"/>
        <w:ind w:left="170"/>
      </w:pPr>
      <w:r>
        <w:rPr>
          <w:rFonts w:ascii="Calibri" w:hAnsi="Calibri"/>
          <w:b/>
          <w:color w:val="4A6B25"/>
          <w:sz w:val="15"/>
        </w:rPr>
        <w:t xml:space="preserve">3. </w:t>
      </w:r>
      <w:r>
        <w:rPr>
          <w:rFonts w:ascii="Calibri" w:hAnsi="Calibri"/>
          <w:b w:val="0"/>
          <w:color w:val="3A4A28"/>
          <w:sz w:val="17"/>
        </w:rPr>
        <w:t>Citizens Financial Group ESG disclosures, $50B sustainable finance target, carbon neutrality 2035 commitment; Bank.Green climate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CFG insider transactions and dividend history,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CFG key statistics (P/E, Forward P/E, ROE, margins),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