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CGAU</w:t>
      </w:r>
      <w:r>
        <w:rPr>
          <w:rFonts w:ascii="Calibri" w:hAnsi="Calibri"/>
          <w:b/>
          <w:color w:val="1A2010"/>
          <w:sz w:val="40"/>
        </w:rPr>
        <w:t xml:space="preserve">  Centerra Gold Inc.</w:t>
      </w:r>
    </w:p>
    <w:p>
      <w:pPr>
        <w:spacing w:after="120"/>
      </w:pPr>
      <w:r>
        <w:rPr>
          <w:rFonts w:ascii="Calibri" w:hAnsi="Calibri"/>
          <w:b/>
          <w:color w:val="6E8450"/>
          <w:sz w:val="18"/>
        </w:rPr>
        <w:t>GROWTH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Centerra Gold engages in the operation, development, exploration, and acquisition of gold and copper properties in North America, Turkey, and internationally. Principal assets include the Mount Milligan gold-copper mine in British Columbia, the Öksüt gold mine in Turkey, the Kemess project, and molybdenum operations including the Thompson Creek and Endako mines.</w:t>
      </w:r>
    </w:p>
    <w:p>
      <w:r>
        <w:rPr>
          <w:rFonts w:ascii="Calibri" w:hAnsi="Calibri"/>
          <w:b/>
          <w:color w:val="6E8450"/>
          <w:sz w:val="18"/>
        </w:rPr>
        <w:t>https://www.centerragold.com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Centerra has executed a meaningful operational turnaround — revenue grew 14% to $1.38B in 2025 with adjusted net earnings up 50% to $152.9M, driven by strategic upgrades at Mount Milligan and strong gold/copper price capture [1]. The company published a Preliminary Economic Assessment for Kemess showing $1.1B after-tax NPV and 16% IRR, opening a significant new growth avenue [1]. AI Deployment (0/2): No evidence of AI-powered products or quantified AI-driven operational savings in mining operations. AI Deployment (0/2). Market Share (1/2): Centerra is a mid-tier gold producer with meaningful copper exposure but is not a category leader; it competes with larger peers like Barrick, Newmont, and Agnico Eagle [2]. Pipeline (2/2): Kemess copper-gold project with $1.1B NPV provides clear next-generation growth; the Goldfield District project in Nevada adds further pipeline visibility with specific development timelines [1]. R&amp;D Intensity (0/1): Mining companies have minimal traditional R&amp;D spend; Centerra's exploration budget is in line with peers but not a differentiator.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Centerra's stated purpose is to be a responsible gold mining company generating sustainable value, which is clear but not distinctive — interchangeable with most mid-tier miners [3]. Community Impact (1/2): The company demonstrates commitment through its IDEA (Inclusion, Diversity, Equity and Accessibility) strategy and community programs at mine sites in British Columbia, Turkey, and Idaho, though specific dollar amounts for charitable giving are not prominently disclosed [3]. Employee Retention (1/2): Glassdoor rating of 3.8/5 with 79% recommendation rate; employees describe C-Suite as 'kind, inclusive and open-minded,' and the CEO as 'committed to listening to employee feedback' — above-average for the mining sector [2]. Insider Buying (0/2): Net insider selling in the last 12 months — insiders sold $1.7M in shares over the last 3 months, with the EVP of People selling CA$300K worth of shares; overall insiders sold more than they bought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Centerra's financial profile is exceptionally strong for a gold miner. D/E of just 0.9% against $540.9M cash and only $18.8M debt creates a fortress balance sheet [5]. ROE of 31.4%, profit margin of 42.2%, and revenue growth of 32.8% YoY all significantly exceed targets [1][5]. Forward P/E of 9.4x is well below the 20x target. Revenue growth 5yr CAGR of approximately 13% (from ~$850M in 2022 to $1.38B in 2025) is strong. Liquidity floor easily cleared: 2.3M avg volume × $19.37 = $44.6M daily [5]. Infrastructure calculated mechanically (Growth stock, PEG excluded): D/E 0.9% → 1.0 (1x), ROE 31.4% → 1.0 (2x), Rev Growth YoY 32.8% → 1.0 (1x), Rev Growth 5yr CAGR ~13% → 1.0 (2x), Forward P/E 9.4 → 1.0 (1x), Profit Margin 42.2% → 1.0 (1x). Weighted sum 8.0 / max 8.0 =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Centerra demonstrates mixed infinite game qualities — the self-funded growth strategy and long-term project pipeline show patient capital allocation, but the company's turnaround from the Kyrgyz Republic asset seizure and ongoing portfolio restructuring suggest a business still proving its staying power rather than one with decades of validated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Centerra's purpose centers on responsible resource extraction and community partnership in the regions where it operates, but this is more a license-to-operate standard than a transformative Just Cause [3]. The company has not articulated a vision that inspires beyond the mining industry's baseline expectations.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indicate a positive shift under current leadership, with employees describing the C-Suite as 'kind, inclusive and open-minded' and 79% recommending the company [2]. The IDEA strategy and flexible work-life balance policies suggest adequate trust, though the relatively recent leadership transition means the culture is still being established.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Centerra operates in an industry where peer benchmarking is standard practice — the company explicitly references peer cost metrics, production benchmarks, and responsible mining standards (RGMPs) as frameworks for self-improvement rather than competitor destruction [3]. The Kemess PEA publication and gold mining principles certification reflect a mindset of raising its own bar.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Centerra demonstrated meaningful flexibility by pivoting away from dependence on the Kumtor mine (seized by Kyrgyzstan in 2021) to rebuild around Mount Milligan, Öksüt, and new development projects [1]. The diversification into copper and molybdenum from pure gold mining shows incremental but not transformative adaptation.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self-funded growth strategy — maintaining a $540M cash position while funding Kemess development without dilutive equity raises — demonstrates disciplined long-term capital allocation [1]. However, the company has not demonstrated the kind of courageous strategic bet (walking away from profitable but misaligned business) that would earn maximum points.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Centerra Gold is a mid-tier miner executing a strong operational turnaround with exceptional financial metrics — $1.38B revenue (up 14% YoY), 42% profit margins, 31% ROE, and a near-zero debt balance sheet with $540M cash [1][5]. Gold prices near $4,450/oz and copper at $5.80/lb create a highly favorable pricing environment, while the Kemess project ($1.1B NPV, 16% IRR) provides a clear self-funded growth catalyst without dilution [1]. At 6.8x trailing P/E and 9.4x forward P/E, the stock trades at a significant discount to gold mining peers despite superior margins and growth profile. Scotiabank recently raised FY2026 EPS estimates to $1.81, reflecting confidence in sustained execution [1].</w:t>
      </w:r>
    </w:p>
    <w:p>
      <w:pPr>
        <w:spacing w:after="120"/>
      </w:pPr>
      <w:r>
        <w:rPr>
          <w:rFonts w:ascii="Calibri" w:hAnsi="Calibri"/>
          <w:b w:val="0"/>
          <w:color w:val="3A4A28"/>
          <w:sz w:val="20"/>
        </w:rPr>
        <w:t>The bear case centers on commodity price dependence and geopolitical risk. Gold and copper prices are cyclical — a meaningful pullback from current highs would compress margins and free cash flow despite operational excellence. Centerra's Öksüt mine in Turkey carries geopolitical risk given regional instability, and the company still bears reputational scars from the 2021 Kumtor mine seizure by Kyrgyzstan. The Kemess project requires $1.1B in development capital over several years with execution risk on permitting, construction timelines, and cost overruns typical of large mining projects. Free cash flow was negative $8.3M in the most recent period despite strong revenue, suggesting heavy capital investment that may pressure near-term returns [5]. Insider selling of $1.7M in the last 3 months is a cautionary signal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copper price strength — gold near $4,450/oz and copper at $5.80/lb provide significant margin tailwinds, with AI data center buildout driving sustained copper demand [1]</w:t>
      </w:r>
    </w:p>
    <w:p>
      <w:pPr>
        <w:spacing w:before="40" w:after="40"/>
        <w:ind w:left="283"/>
      </w:pPr>
      <w:r>
        <w:rPr>
          <w:rFonts w:ascii="Calibri" w:hAnsi="Calibri"/>
          <w:b/>
          <w:color w:val="4A6B25"/>
          <w:sz w:val="20"/>
        </w:rPr>
        <w:t xml:space="preserve">2. </w:t>
      </w:r>
      <w:r>
        <w:rPr>
          <w:rFonts w:ascii="Calibri" w:hAnsi="Calibri"/>
          <w:b w:val="0"/>
          <w:color w:val="3A4A28"/>
          <w:sz w:val="20"/>
        </w:rPr>
        <w:t>Kemess project development — $1.1B NPV and 16% IRR provide a transformative growth asset that could significantly expand Centerra's production profile over the next 3-5 years [1]</w:t>
      </w:r>
    </w:p>
    <w:p>
      <w:pPr>
        <w:spacing w:before="40" w:after="40"/>
        <w:ind w:left="283"/>
      </w:pPr>
      <w:r>
        <w:rPr>
          <w:rFonts w:ascii="Calibri" w:hAnsi="Calibri"/>
          <w:b/>
          <w:color w:val="4A6B25"/>
          <w:sz w:val="20"/>
        </w:rPr>
        <w:t xml:space="preserve">3. </w:t>
      </w:r>
      <w:r>
        <w:rPr>
          <w:rFonts w:ascii="Calibri" w:hAnsi="Calibri"/>
          <w:b w:val="0"/>
          <w:color w:val="3A4A28"/>
          <w:sz w:val="20"/>
        </w:rPr>
        <w:t>Goldfield District project advancement in Nevada adds further optionality to the pipeline with U.S.-based operations reducing geopolitical risk concentration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a correction in gold or copper prices from current highs would compress margins on a business with 100% commodity exposure and no hedging visibility [1][5]</w:t>
      </w:r>
    </w:p>
    <w:p>
      <w:pPr>
        <w:spacing w:before="40" w:after="40"/>
        <w:ind w:left="283"/>
      </w:pPr>
      <w:r>
        <w:rPr>
          <w:rFonts w:ascii="Calibri" w:hAnsi="Calibri"/>
          <w:b/>
          <w:color w:val="4A6B25"/>
          <w:sz w:val="20"/>
        </w:rPr>
        <w:t xml:space="preserve">2. </w:t>
      </w:r>
      <w:r>
        <w:rPr>
          <w:rFonts w:ascii="Calibri" w:hAnsi="Calibri"/>
          <w:b w:val="0"/>
          <w:color w:val="3A4A28"/>
          <w:sz w:val="20"/>
        </w:rPr>
        <w:t>Geopolitical risk at Öksüt (Turkey) and residual Kumtor overhang — operational disruption from political instability or regulatory changes in foreign jurisdictions [1]</w:t>
      </w:r>
    </w:p>
    <w:p>
      <w:pPr>
        <w:spacing w:before="40" w:after="40"/>
        <w:ind w:left="283"/>
      </w:pPr>
      <w:r>
        <w:rPr>
          <w:rFonts w:ascii="Calibri" w:hAnsi="Calibri"/>
          <w:b/>
          <w:color w:val="4A6B25"/>
          <w:sz w:val="20"/>
        </w:rPr>
        <w:t xml:space="preserve">3. </w:t>
      </w:r>
      <w:r>
        <w:rPr>
          <w:rFonts w:ascii="Calibri" w:hAnsi="Calibri"/>
          <w:b w:val="0"/>
          <w:color w:val="3A4A28"/>
          <w:sz w:val="20"/>
        </w:rPr>
        <w:t>Kemess execution risk — the project requires multi-billion dollar development capital over several years with permitting, construction, and cost overrun risks typical of large greenfield mining developments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copper mining is a physical-world operation that AI structurally cannot displace — extracting minerals from underground requires heavy equipment, geological expertise, and physical infrastructure that no software can substitute [2]. Moreover, the AI boom is a direct demand driver for copper (used extensively in data centers, power infrastructure, and semiconductor manufacturing), making Centerra a net beneficiary of AI expansion rather than a victim of disruption. Analysts see zero substitution risk for mining operations. AI Opportunity (1/1): While Centerra does not generate direct AI revenue, the company benefits from AI-driven demand for copper — copper prices tested $5.80/lb in January 2026 driven partly by data center buildout, directly boosting Centerra's Mount Milligan gold-copper mine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Centerra Gold Q4/FY2025 Earnings Release — $1.38B revenue, $152.9M adjusted net earnings, Kemess PEA, 2026 production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Centerra Gold employee reviews, CEO approval, 3.8/5 rating,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Centerra Gold Sustainability Report — ESG commitments, IDEA strategy, Responsible Gold Mining Principles certification</w:t>
      </w:r>
    </w:p>
    <w:p>
      <w:pPr>
        <w:spacing w:before="20" w:after="20"/>
        <w:ind w:left="170"/>
      </w:pPr>
      <w:r>
        <w:rPr>
          <w:rFonts w:ascii="Calibri" w:hAnsi="Calibri"/>
          <w:b/>
          <w:color w:val="4A6B25"/>
          <w:sz w:val="15"/>
        </w:rPr>
        <w:t xml:space="preserve">4. </w:t>
      </w:r>
      <w:r>
        <w:rPr>
          <w:rFonts w:ascii="Calibri" w:hAnsi="Calibri"/>
          <w:b w:val="0"/>
          <w:color w:val="3A4A28"/>
          <w:sz w:val="17"/>
        </w:rPr>
        <w:t>MarketBeat / TipRanks — Centerra Gold insider trading activity, net insider selling $1.7M in 3 months,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CGAU (Centerra Gold),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