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CGC</w:t>
      </w:r>
      <w:r>
        <w:rPr>
          <w:rFonts w:ascii="Calibri" w:hAnsi="Calibri"/>
          <w:b/>
          <w:color w:val="1A2010"/>
          <w:sz w:val="40"/>
        </w:rPr>
        <w:t xml:space="preserve">  Canopy Growth Corporation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2026-03-24 · Inspire: -38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22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Defensive · Cannabis · NASDAQ · Canada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Canopy Growth Corporation is one of the world's largest cannabis companies, operating in Canada, Germany, and the United States through medical cannabis, adult-use recreational cannabis, and derivative products. The company has been restructuring aggressively since 2022, divesting non-core assets and targeting profitability through cost reduction. Fiscal 2025 revenue of CAD $269M declined 9.5% YoY, and the company posted a net loss of CAD $598M. Shares outstanding increased 163% in one year from dilutive capital raises.</w:t>
      </w:r>
    </w:p>
    <w:p>
      <w:r>
        <w:rPr>
          <w:rFonts w:ascii="Calibri" w:hAnsi="Calibri"/>
          <w:b/>
          <w:color w:val="6E8450"/>
          <w:sz w:val="18"/>
        </w:rPr>
        <w:t>1,200 Employees · https://www.canopygrowth.com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Canopy scores poorly on innovation for a cannabis company in restructuring mode. Track record (1/3): the company pioneered large-scale cannabis production in Canada following legalization, but its innovation track record is primarily one of scale-up followed by contraction — no transformative new products or pivots have succeeded [1]. AI deployment (0/2): no AI deployment programs cited; the company is in cost-reduction mode [1]. Market share (1/2): Canopy was once the dominant Canadian LP but has seen significant share erosion to lower-cost competitors; it maintains leadership in the branded products segment (Tweed, 7ACRES, DNA Genetics) but not in total volume [1]. Pipeline (1/2): expansion into the German medical cannabis market following EU legalization represents a potential growth catalyst [1]. R&amp;D intensity (0/1): R&amp;D investment has declined with the restructuring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Canopy Growth's mission — 'unlocking the power of cannabis' — is specific but limited in its connection to a broader human purpose; cannabis wellness claims are legitimate but the company primarily operates as a consumer products manufacturer [2]. Community impact (0/2): no documented distinctive charitable programs for a company in financial distress [1]. Employee retention (1/2): significant headcount reductions over 2022–2025 have destabilized the organization; management changes have been frequent [1]. Insider buying (0/2): net insider selling implied by the 163% share dilution environment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CGC's financial infrastructure is severely distressed. Liquidity check: stock at approximately $2.00 × approximately 500,000 avg daily volume = approximately $1.0M — borderline on the liquidity threshold. ROE of -48.50% (floor, score = 0). Profit margin of approximately -222% (floor, score = 0). Revenue growth YoY of -9.47% (score = (-9.47-(-20))/(10-(-20)) = 0.35). Revenue 5yr CAGR is negative (declining from the post-legalization peak, floor score ≈ 0). D/E of 34% is relatively good: score = (300-34)/(300-70) = 1.16 → capped 1.0. Forward P/E is negative/not meaningful. PEG not applicable. Net loss of CAD $238M in LTM against CAD $203M revenue. Weighted: D/E(1.0×1) + ROE(0×2) + RevYoY(0.35×1) + Rev5yr(0×2) + FwdPE(0×1) + Margin(0×1) + PEG(0×2) = 1.35/10 → score = 1.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Canopy Growth's trajectory — from a $19B market cap in 2018 to a company in ongoing financial distress — represents a cautionary tale of a company that optimized for capital raises and market hype rather than building enduring value. The 163% share dilution in one year and 10+ CEO changes since 2019 are hallmarks of a finite-game organization fighting for survival.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Cannabis wellness and access represents a genuinely meaningful Just Cause for millions of patients and consumers. Canopy's early leadership in Canadian cannabis legalization established a mission around responsible cannabis access. However, the execution of this cause has been undermined by mismanagement, overspending, and financial distress that has consumed the organization's resources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Canopy Growth has experienced numerous CEO changes, mass layoffs (thousands of employees eliminated since 2022), and repeated restructurings that make meaningful organizational trust impossible. The 163% share dilution in one year reflects ongoing capital crises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Canopy operates in competition with Aurora Cannabis, Tilray, and a growing number of craft producers. The competitive language in the cannabis sector focuses on price compression and survival rather than worthy-rivals-style learning and improvement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pivot to European medical cannabis (Germany legalization) and focus on branded premium products represents genuine strategic adaptation. The divestiture of non-core assets and focus on Tweed/DNA Genetics brands shows portfolio flexibility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sustained losses, dilution, and restructuring over 5 years without a viable path to profitability suggest leadership that has been responding to crises rather than making courageous proactive investments in long-term capability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Canopy Growth's speculative bull case rests on two catalysts: German medical cannabis legalization creating a new regulated market where Canopy's distribution relationships and product quality could command premium pricing; and potential US federal cannabis rescheduling or legalization that would unlock the world's largest cannabis market where Canopy has pre-positioned assets. With CAD $270.94M in cash against CAD $186M in debt, the balance sheet is solvent in the near term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dominates: CGC has been in restructuring for three years with no profitability in sight; revenue declined 9.5% in fiscal 2025 and is tracking -9% in LTM; shares outstanding increased 163% in one year (implying extreme dilution); the stock has declined 28.74% in 52 weeks from already-depressed levels; the Inspire score of -38 flags faith alignment concerns from cannabis THC retail operations; and the 'Strong Sell' technical consensus reflects genuine fundamental deterioration. Infrastructure score of 1 reflects the near-zero scoring on financial metrics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German Tier 2 adult-use cannabis legislation passage — Germany's two-stage legalization process could open a regulated consumer market where Canopy's quality and distribution position creates early-mover advantage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US federal cannabis rescheduling to Schedule III or below — this would enable Canopy to access banking, deduct business expenses, and potentially list on US exchanges, transforming the capital structure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Reaching Canadian market positive adjusted EBITDA in a single quarter would be the first financial milestone demonstrating the restructuring is working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Dilution risk: 163% increase in shares outstanding in one year signals ongoing capital needs; additional dilutive raises are likely given the continuing net losses and operational cash burn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Regulatory risk: Canadian cannabis market oversupply, price compression from craft producers, and regulatory changes could further impair revenue and margins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Going concern uncertainty: net losses of CAD $238M against CAD $203M in LTM revenue represents ongoing financial distress that could exhaust the cash balance within 18–24 months without revenue growth or restructuring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Cannabis cultivation and consumer branded products are moderately protected from AI disruption — physical grow operations, regulatory compliance, and retail dispensary relationships involve physical-world processes that AI cannot replicate. However, AI creates competitive pressure through precision agriculture optimization (benefiting lower-cost producers more than premium brands), AI-driven consumer insights that could erode Canopy's brand premium, and automated regulatory compliance tools [1]. AI Opportunity (0/1): no AI product revenue cited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-38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Cannabis: Cultivation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DC2626"/>
          <w:sz w:val="17"/>
        </w:rPr>
        <w:t xml:space="preserve"> Cannabis: THC Retail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Canopy Growth Fiscal Year 2025 Annual Report and Q3 FY2025 Results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Canopy Growth corporate website — canopygrowth.com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StockAnalysis.com — CGC statistics and overview, accessed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NASDAQ — CGC earnings dates and PE ratio history, accessed March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