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CGNX</w:t>
      </w:r>
      <w:r>
        <w:rPr>
          <w:rFonts w:ascii="Calibri" w:hAnsi="Calibri"/>
          <w:b/>
          <w:color w:val="1A2010"/>
          <w:sz w:val="40"/>
        </w:rPr>
        <w:t xml:space="preserve">  Cognex Corporation</w:t>
      </w:r>
    </w:p>
    <w:p>
      <w:pPr>
        <w:spacing w:after="120"/>
      </w:pPr>
      <w:r>
        <w:rPr>
          <w:rFonts w:ascii="Calibri" w:hAnsi="Calibri"/>
          <w:b/>
          <w:color w:val="6E8450"/>
          <w:sz w:val="18"/>
        </w:rPr>
        <w:t>GROWTH SLEEVE · 2026-04-16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Cognex Corporation designs, develops, manufactures, and markets machine vision products used to automate manufacturing and distribution tasks worldwide. Its products capture and analyze visual information to locate, identify, inspect, and measure discrete items in industries including automotive, logistics, consumer electronics, and semiconductor manufacturing.</w:t>
      </w:r>
    </w:p>
    <w:p>
      <w:r>
        <w:rPr>
          <w:rFonts w:ascii="Calibri" w:hAnsi="Calibri"/>
          <w:b/>
          <w:color w:val="6E8450"/>
          <w:sz w:val="18"/>
        </w:rPr>
        <w:t>2,745 Employees · https://www.cognex.com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Cognex launched its OneVision cloud-based platform in 2025, enabling non-experts to upload images and auto-train AI models deployed to factory cameras — a transformative shift from on-premise to cloud-based machine vision [2]. The In-Sight 8900, DataMan 290, and SLX product lines represent meaningful refreshes across the portfolio [2]. AI Deployment (2/2): AI is core to Cognex's product strategy — the OneVision platform uses cloud AI for model training and deployment, and deep learning tools are embedded across VisionPro software and In-Sight vision systems, with CEO Moschner declaring an 'AI-First' mandate [2]. Market Share (2/2): Cognex is the global leader in industrial machine vision with a competitive landscape described as 'stable' — the same primary competitors (Keyence in Japan, Chinese players) for over a decade, with AI-focused entrants unable to materially change the landscape [2]. Pipeline (1/2): Management targets doubling the served customer base over the next five years through market expansion, with EBITDA margin targets of 25-31% by late 2026, though specific next-gen product timelines beyond current launches are limited [1][2]. R&amp;D Intensity (1/1): Heavy R&amp;D investment in AI and deep learning for machine vision, well above industry average for scientific instruments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Cognex's stated purpose centers on 'helping manufacturers improve quality and efficiency through machine vision automation' — clear and specific to their business but not deeply aspirational or transformative beyond the obvious [4]. Community Impact (1/2): Cognex operates the Cognex Foundation focused on STEM education and community support, but specific dollar amounts or distinctive programs are not prominently documented. The company's ESG overview emphasizes innovation as cultural foundation with shared responsibility [3]. Employee Retention (2/2): CEO Moschner assembled his entire new leadership team from Cognex's internal talent bench, demonstrating deep organizational tenure and commitment — Sheila DiPalma was appointed Chief Culture Officer, a dedicated C-suite role for employee culture that signals leadership investment in retention [2]. Insider Buying (1/2): The $500M share repurchase authorization signals management confidence in the stock, though direct insider buying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Cognex has a fortress balance sheet with D/E of just 5.1% ($77M debt vs $337M cash), scoring perfectly on leverage [5]. However, ROE of 7.6% is well below the 15% target, reflecting the cyclical recovery still underway after the 2022-2024 downturn when revenue fell from $1.006B to $837M before recovering to $994M [5]. Revenue growth of 9.9% YoY is approaching but below the 10% target, and the 5yr CAGR of 4.2% reflects the cyclical trough [5]. Forward P/E of 35.5x is elevated for current margins, and profit margin of 11.5% is below the 20% target, though management is targeting 25-31% EBITDA margins by late 2026 through exiting $22M of low-margin product lines [1]. Estimated PEG of 2.36 reflects premium valuation relative to growth. Liquidity floor cleared at $122M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Cognex demonstrates mixed infinite game characteristics. The company has strong institutional continuity — promoting its entire new leadership team from internal ranks and appointing a Chief Culture Officer — but the recent margin-focused overhaul and product line exits suggest pressure to optimize near-term profitability alongside the genuine long-term AI-first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Cognex's cause — automating manufacturing through machine vision to improve quality and efficiency — has been consistently pursued since its 1981 founding [4]. The AI-First mandate under CEO Moschner extends this cause into cloud AI and deep learning while maintaining the core purpose. The 45-year track record of innovation in a single domain demonstrates genuine commitment, though the cause lacks the broader humanitarian dimension of top-tier infinite players. (2/3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promotion of the entire new leadership team from Cognex's internal talent bench — including CEO Moschner from COO — demonstrates organizational depth and trust in internal development [2]. The creation of a dedicated Chief Culture Officer role (Sheila DiPalma) signals leadership investment in employee experience. However, the plan to exit $22M of low-margin product lines likely involves some workforce disruption [1]. (1/2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Cognex acknowledges Keyence (Japan) and Chinese competitors while focusing its competitive strategy on improving its own AI capabilities and customer experience rather than attacking rivals [2]. The CEO's framing of market expansion — doubling the served customer base — focuses on growing the addressable market rather than taking share from competitors. (1/1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purely on-premise hardware-based vision systems to the OneVision cloud AI platform represents meaningful strategic evolution — moving from selling cameras to selling AI-as-a-service for manufacturing [2]. This is a significant but incremental shift rather than a full business model transformation, as the core machine vision domain remains unchanged. (1/2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Cognex has not demonstrated clear examples of courageous leadership sacrifice. The margin-focused overhaul — exiting $22M of low-margin product lines — is prudent operational management rather than a bold strategic bet [1]. The company navigated the 2022-2024 cyclical downturn without major restructuring, which shows resilience but not transformative courage. (0/2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Cognex is the global leader in industrial machine vision, recovering from a cyclical trough with Q4 2025 revenue of $252M (up 9.9% YoY) beating analyst estimates by $13M, driving shares up 48.6% [1]. CEO Moschner's 'AI-First' strategy positions Cognex at the intersection of manufacturing automation and AI, with the OneVision cloud platform transforming the business from hardware sales to AI-as-a-service [2]. Management targets 25-31% adjusted EBITDA margins by late 2026, a significant improvement from the current 11.5% net margin, through product line exits and operational discipline [1]. The fortress balance sheet (D/E 5.1%, $337M cash) provides flexibility for R&amp;D investment and the $500M buyback authorization [1][5]. The plan to double the served customer base over five years suggests a long runway for growth in logistics, automotive, and semiconductor end markets.</w:t>
      </w:r>
    </w:p>
    <w:p>
      <w:pPr>
        <w:spacing w:after="120"/>
      </w:pPr>
      <w:r>
        <w:rPr>
          <w:rFonts w:ascii="Calibri" w:hAnsi="Calibri"/>
          <w:b w:val="0"/>
          <w:color w:val="3A4A28"/>
          <w:sz w:val="20"/>
        </w:rPr>
        <w:t>The bear case centers on valuation and cyclical risk. At 35.5x forward earnings and 80x trailing earnings, Cognex is pricing in a dramatic margin expansion and growth acceleration that has yet to materialize [5]. ROE of 7.6% is well below cost of capital, and the 5yr revenue CAGR of only 4.2% reflects significant cyclicality — revenue peaked at $1.006B in 2022, fell 17% to $838M in 2023, and has only recovered to $994M [5]. The semiconductor and automotive end markets remain cyclically sensitive, and tariff escalation could disrupt global manufacturing investment that drives Cognex's order book. Cloud-based AI vision tools from hyperscalers pose a long-tail disruption risk to Cognex's proprietary edge models. The new leadership team, while internally promoted, is untested in executing the ambitious AI-First transformation and margin targets simultaneously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to 25-31% target by late 2026 through $22M product line exits and operational restructuring, potentially doubling profitability [1]</w:t>
      </w:r>
    </w:p>
    <w:p>
      <w:pPr>
        <w:spacing w:before="40" w:after="40"/>
        <w:ind w:left="283"/>
      </w:pPr>
      <w:r>
        <w:rPr>
          <w:rFonts w:ascii="Calibri" w:hAnsi="Calibri"/>
          <w:b/>
          <w:color w:val="4A6B25"/>
          <w:sz w:val="20"/>
        </w:rPr>
        <w:t xml:space="preserve">2. </w:t>
      </w:r>
      <w:r>
        <w:rPr>
          <w:rFonts w:ascii="Calibri" w:hAnsi="Calibri"/>
          <w:b w:val="0"/>
          <w:color w:val="3A4A28"/>
          <w:sz w:val="20"/>
        </w:rPr>
        <w:t>OneVision cloud AI platform adoption accelerating the shift to recurring revenue and enabling non-expert customers to deploy machine vision [2]</w:t>
      </w:r>
    </w:p>
    <w:p>
      <w:pPr>
        <w:spacing w:before="40" w:after="40"/>
        <w:ind w:left="283"/>
      </w:pPr>
      <w:r>
        <w:rPr>
          <w:rFonts w:ascii="Calibri" w:hAnsi="Calibri"/>
          <w:b/>
          <w:color w:val="4A6B25"/>
          <w:sz w:val="20"/>
        </w:rPr>
        <w:t xml:space="preserve">3. </w:t>
      </w:r>
      <w:r>
        <w:rPr>
          <w:rFonts w:ascii="Calibri" w:hAnsi="Calibri"/>
          <w:b w:val="0"/>
          <w:color w:val="3A4A28"/>
          <w:sz w:val="20"/>
        </w:rPr>
        <w:t>Manufacturing capex recovery cycle driving order growth across automotive, semiconductor, and logistics end markets as AI-driven automation demand increases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80x trailing and 35.5x forward earnings requires flawless execution on margin targets and growth acceleration to avoid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Cyclical revenue vulnerability — revenue fell 17% from 2022 peak to 2023 trough, and global manufacturing capex remains sensitive to tariffs and trade disruption [5]</w:t>
      </w:r>
    </w:p>
    <w:p>
      <w:pPr>
        <w:spacing w:before="40" w:after="40"/>
        <w:ind w:left="283"/>
      </w:pPr>
      <w:r>
        <w:rPr>
          <w:rFonts w:ascii="Calibri" w:hAnsi="Calibri"/>
          <w:b/>
          <w:color w:val="4A6B25"/>
          <w:sz w:val="20"/>
        </w:rPr>
        <w:t xml:space="preserve">3. </w:t>
      </w:r>
      <w:r>
        <w:rPr>
          <w:rFonts w:ascii="Calibri" w:hAnsi="Calibri"/>
          <w:b w:val="0"/>
          <w:color w:val="3A4A28"/>
          <w:sz w:val="20"/>
        </w:rPr>
        <w:t>Cloud AI competition — hyperscaler vision APIs from AWS, Google, and Azure could erode Cognex's traditional on-premise moat in lower-complexity machine vision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Cognex occupies a unique position — AI is both its core product and potential disruption vector. The company's machine vision products are deeply embedded in manufacturing and logistics workflows with high switching costs, proprietary calibration data, and integration complexity that protects against easy substitution [2]. However, cloud-based AI vision tools from hyperscalers and startups represent a long-tail risk to Cognex's traditional on-premise model, which management is proactively addressing through OneVision [2]. The competitive landscape has remained 'stable' for over a decade despite AI-focused entrants, suggesting strong defensibility [2]. AI Opportunity (1/1): AI is Cognex's core business — the OneVision platform, deep learning-enabled VisionPro tools, and AI-trained vision systems generate direct revenue from AI products shipped to customers worldwide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Cognex Q4 CY2025 Earnings Release — $252.3M revenue (9.9% YoY growth), Q1 2026 guidance $235M-$255M, February 2026</w:t>
      </w:r>
    </w:p>
    <w:p>
      <w:pPr>
        <w:spacing w:before="20" w:after="20"/>
        <w:ind w:left="170"/>
      </w:pPr>
      <w:r>
        <w:rPr>
          <w:rFonts w:ascii="Calibri" w:hAnsi="Calibri"/>
          <w:b/>
          <w:color w:val="4A6B25"/>
          <w:sz w:val="15"/>
        </w:rPr>
        <w:t xml:space="preserve">2. </w:t>
      </w:r>
      <w:r>
        <w:rPr>
          <w:rFonts w:ascii="Calibri" w:hAnsi="Calibri"/>
          <w:b w:val="0"/>
          <w:color w:val="3A4A28"/>
          <w:sz w:val="17"/>
        </w:rPr>
        <w:t>Cognex Investor Relations / PR Newswire — New leadership team announcement, AI-First strategy, OneVision platform, market expansion targets, 2025-2026</w:t>
      </w:r>
    </w:p>
    <w:p>
      <w:pPr>
        <w:spacing w:before="20" w:after="20"/>
        <w:ind w:left="170"/>
      </w:pPr>
      <w:r>
        <w:rPr>
          <w:rFonts w:ascii="Calibri" w:hAnsi="Calibri"/>
          <w:b/>
          <w:color w:val="4A6B25"/>
          <w:sz w:val="15"/>
        </w:rPr>
        <w:t xml:space="preserve">3. </w:t>
      </w:r>
      <w:r>
        <w:rPr>
          <w:rFonts w:ascii="Calibri" w:hAnsi="Calibri"/>
          <w:b w:val="0"/>
          <w:color w:val="3A4A28"/>
          <w:sz w:val="17"/>
        </w:rPr>
        <w:t>Cognex ESG Overview — corporate responsibility approach, innovation culture, Investor Relations page, 2025</w:t>
      </w:r>
    </w:p>
    <w:p>
      <w:pPr>
        <w:spacing w:before="20" w:after="20"/>
        <w:ind w:left="170"/>
      </w:pPr>
      <w:r>
        <w:rPr>
          <w:rFonts w:ascii="Calibri" w:hAnsi="Calibri"/>
          <w:b/>
          <w:color w:val="4A6B25"/>
          <w:sz w:val="15"/>
        </w:rPr>
        <w:t xml:space="preserve">4. </w:t>
      </w:r>
      <w:r>
        <w:rPr>
          <w:rFonts w:ascii="Calibri" w:hAnsi="Calibri"/>
          <w:b w:val="0"/>
          <w:color w:val="3A4A28"/>
          <w:sz w:val="17"/>
        </w:rPr>
        <w:t>Cognex corporate website — mission, products, machine vision technology overview, cognex.com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CGNX (Cognex Corporation),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