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CGON</w:t>
      </w:r>
      <w:r>
        <w:rPr>
          <w:rFonts w:ascii="Calibri" w:hAnsi="Calibri"/>
          <w:b/>
          <w:color w:val="1A2010"/>
          <w:sz w:val="40"/>
        </w:rPr>
        <w:t xml:space="preserve">  CG Oncology, Inc.</w:t>
      </w:r>
    </w:p>
    <w:p>
      <w:pPr>
        <w:spacing w:after="120"/>
      </w:pPr>
      <w:r>
        <w:rPr>
          <w:rFonts w:ascii="Calibri" w:hAnsi="Calibri"/>
          <w:b/>
          <w:color w:val="6E8450"/>
          <w:sz w:val="18"/>
        </w:rPr>
        <w:t>GROWTH SLEEVE · 2026-04-29 · Inspire: 15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CG Oncology is a late-stage clinical biopharmaceutical company focused on developing and commercializing cretostimogene grenadenorepvec, an investigational oncolytic immunotherapy for patients with bladder cancer. The company has multiple Phase 3 trials in non-muscle invasive bladder cancer (NMIBC), holds FDA Fast Track and Breakthrough Therapy Designations, and initiated a rolling BLA submission in 2026.</w:t>
      </w:r>
    </w:p>
    <w:p>
      <w:r>
        <w:rPr>
          <w:rFonts w:ascii="Calibri" w:hAnsi="Calibri"/>
          <w:b/>
          <w:color w:val="6E8450"/>
          <w:sz w:val="18"/>
        </w:rPr>
        <w:t>142 Employees · https://cgoncology.com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CG Oncology has spent over a decade developing cretostimogene from preclinical concept to rolling BLA submission, advancing through multiple Phase 2 trials and initiating four separate Phase 3 programs (BOND-003 Cohorts C and P, PIVOT-006, CORE-008) — a significant achievement for a 142-person company that demonstrates sustained execution [1]. AI Deployment (0/2): No evidence of AI-powered drug discovery or AI-driven operational efficiencies; the company uses traditional biologic development approaches with Veeva collaborative safety solutions for pharmacovigilance [2]. Market Share Leadership (2/2): Cretostimogene is positioned as a potential first-in-class bladder-sparing oncolytic immunotherapy for BCG-unresponsive NMIBC, a market with significant unmet need where the current standard (radical cystectomy) has devastating quality-of-life impacts. FDA Breakthrough Therapy Designation validates the clinical differentiation [1]. Product Pipeline (2/2): PIVOT-006 Phase 3 topline data expected H1 2026 (nearly a year ahead of schedule), CORE-008 Cohort CX combination data expected H1 2026, rolling BLA submission initiated with completion expected in 2026 — multiple near-term catalysts with specific timelines [1]. R&amp;D Intensity (1/1): R&amp;D spending of $116.6M against $4.0M revenue represents near-total investment in drug development, vastly exceeding industry averages as expected for a late-stage clinical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CG Oncology's mission — 'a world where urologic cancer patients can benefit from innovative therapies to live and work with dignity and an enhanced quality of life' — is specific, patient-centered, and deeply resonant for the bladder cancer community. The executive leadership team has personal connections to bladder cancer, and the decade-plus focus on a single disease area validates the authenticity of the mission [2]. Community &amp; Charitable Impact (2/2): CG Oncology is an active 'Partner in Progress' with the Bladder Cancer Advocacy Network (BCAN), contributing to patient education, awareness, and support programs — a meaningful community investment aligned with its core mission [2]. Employee Retention (1/2): CEO Arthur Kuan has led the company through its transformation from Cold Genesys to CG Oncology and through IPO, providing consistent leadership. Glassdoor describes the company as having a team that shares passion and enjoys working together, though the company is small and limited retention data exists [2]. Insider Buying (0/2): No significant insider buying data found in public records; as a growth-stage biotech with recent capital raises, insider transactions are primarily compensation-related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CG Oncology's balance sheet is exceptionally strong for a clinical-stage biotech: $903M in cash as of February 2026 (after ATM equity sales) provides runway through H1 2029, with minimal debt (D/E of 0.9%) [1]. Revenue of $4.0M in 2025 (up 254% from $1.1M in 2024) is collaboration/grant income, not product revenue — the company is pre-commercial with a net loss of $161M in 2025 [1]. ROE is deeply negative (-21.7%) and profit margin is 0%, reflecting the clinical-stage operating model [1]. The $5.8B market cap values cretostimogene at a significant premium reflecting the BLA-stage advancement, FDA Breakthrough Therapy designation, and multi-billion-dollar peak sales potential in bladder cancer. Forward P/E and PEG are nonsensical for a pre-revenue biotech and excluded from the mechanical calculation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CG Oncology demonstrates strong infinite game characteristics relative to its clinical-stage peers. The company's decade-plus focus on bladder cancer, leadership with personal connections to the disease, and partnership with BCAN reflect a genuine cause-driven orientation. However, the company's existence depends on a single drug candidate's regulatory success, creating an inherently fragile organizational structure that limits its infinite game potential [1][2].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CG Oncology's cause — developing bladder-sparing therapies so cancer patients can live with dignity — is genuine, specific, and deeply felt by the leadership team who have personal connections to bladder cancer. The decade-plus focus on a single disease area (from Cold Genesys founding in 2010 through today) validates authenticity. However, the cause has not yet been tested through adversity or leadership transitions — Arthur Kuan has led continuously and the company has not faced the defining moment that separates a genuine Just Cause from an aspirational one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CG Oncology's team of 142 employees is described as 'exceptionally talented individuals who share a passion and enjoy working together,' with key executive appointments in commercial, medical, and manufacturing operations signaling intentional organizational building for the pre-launch phase [2]. The company culture appears collaborative and mission-driven, though the small size and early stage make it difficult to assess deep organizational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CG Oncology positions cretostimogene as a potential best-in-class therapy without explicitly acknowledging competitors' strengths. The competitive narrative focuses on the inadequacy of current treatments (BCG, radical cystectomy) rather than learning from rival approaches (e.g., Ferring's nadofaragene, J&amp;J's erdafitinib), reflecting a more finite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CG Oncology has evolved its business model from a single-indication BCG-unresponsive NMIBC focus to a multi-indication bladder cancer platform spanning intermediate-risk NMIBC (PIVOT-006), high-risk BCG-exposed and BCG-naive patients (CORE-008), and combination therapies with gemcitabine. While still centered on cretostimogene, this expansion from one clinical program to four concurrent Phase 3 trials across distinct patient populations represents meaningful strategic adaptation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CG Oncology demonstrates a pattern of courageous long-term bets. The decision to run four concurrent Phase 3 programs (BOND-003 Cohorts C and P, PIVOT-006, CORE-008) while simultaneously initiating a rolling BLA submission represents extraordinary operational ambition for a 142-person company spending $116.6M annually on R&amp;D [1]. Additionally, accelerating the PIVOT-006 timeline by nearly a year ahead of schedule — committing additional resources to expand into intermediate-risk NMIBC before the lead BCG-unresponsive indication was approved — shows willingness to invest aggressively in long-term platform value over near-term capital preservation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CG Oncology represents a compelling late-stage biotech opportunity with cretostimogene advancing toward FDA approval for bladder cancer with Breakthrough Therapy and Fast Track Designations [1]. The company initiated a rolling BLA submission in 2026 with completion expected this year, and PIVOT-006 Phase 3 topline data in intermediate-risk NMIBC is expected H1 2026 — nearly a year ahead of schedule. With $903M in cash providing runway through H1 2029, the company is exceptionally well-funded to execute through BLA completion, potential approval, and commercial launch without dilution. The addressable market in NMIBC is estimated at $3B+ peak sales, and cretostimogene's bladder-sparing approach addresses a devastating unmet need where the alternative is radical cystectomy [1].</w:t>
      </w:r>
    </w:p>
    <w:p>
      <w:pPr>
        <w:spacing w:after="120"/>
      </w:pPr>
      <w:r>
        <w:rPr>
          <w:rFonts w:ascii="Calibri" w:hAnsi="Calibri"/>
          <w:b w:val="0"/>
          <w:color w:val="3A4A28"/>
          <w:sz w:val="20"/>
        </w:rPr>
        <w:t>The bear case centers on the binary nature of regulatory outcomes and the significant valuation premium already embedded in the $5.8B market cap. While Phase 2 data has been encouraging, Phase 3 trials can produce unexpected results — and any failure in the PIVOT-006 or BOND-003 programs would likely result in a catastrophic stock decline given the single-asset structure [1]. The net loss widened to $161M in 2025 with R&amp;D expenses of $116.6M and G&amp;A of $73.5M, reflecting the cost of running four concurrent Phase 3 programs [1]. Competition from Ferring's nadofaragene firadenovec (Adstiladrin, already FDA-approved for BCG-unresponsive NMIBC) and emerging therapies could limit cretostimogene's market share even with positive data. The February 2026 ATM equity raise, while extending runway, signals that the company may need additional capital for commercialization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PIVOT-006 Phase 3 topline data in intermediate-risk NMIBC expected H1 2026 — accelerated nearly a year ahead of schedule, representing the potentially largest market expansion opportunity</w:t>
      </w:r>
    </w:p>
    <w:p>
      <w:pPr>
        <w:spacing w:before="40" w:after="40"/>
        <w:ind w:left="283"/>
      </w:pPr>
      <w:r>
        <w:rPr>
          <w:rFonts w:ascii="Calibri" w:hAnsi="Calibri"/>
          <w:b/>
          <w:color w:val="4A6B25"/>
          <w:sz w:val="20"/>
        </w:rPr>
        <w:t xml:space="preserve">2. </w:t>
      </w:r>
      <w:r>
        <w:rPr>
          <w:rFonts w:ascii="Calibri" w:hAnsi="Calibri"/>
          <w:b w:val="0"/>
          <w:color w:val="3A4A28"/>
          <w:sz w:val="20"/>
        </w:rPr>
        <w:t>Rolling BLA submission completion expected in 2026 for BCG-unresponsive NMIBC, with potential FDA approval in 2027 given Breakthrough Therapy Designation and Fast Track status</w:t>
      </w:r>
    </w:p>
    <w:p>
      <w:pPr>
        <w:spacing w:before="40" w:after="40"/>
        <w:ind w:left="283"/>
      </w:pPr>
      <w:r>
        <w:rPr>
          <w:rFonts w:ascii="Calibri" w:hAnsi="Calibri"/>
          <w:b/>
          <w:color w:val="4A6B25"/>
          <w:sz w:val="20"/>
        </w:rPr>
        <w:t xml:space="preserve">3. </w:t>
      </w:r>
      <w:r>
        <w:rPr>
          <w:rFonts w:ascii="Calibri" w:hAnsi="Calibri"/>
          <w:b w:val="0"/>
          <w:color w:val="3A4A28"/>
          <w:sz w:val="20"/>
        </w:rPr>
        <w:t>CORE-008 Cohort CX Phase 2 combination data (cretostimogene + gemcitabine) expected H1 2026 could demonstrate enhanced efficacy and differentiate from competitors in high-risk NMIBC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trial risk across four concurrent programs — a single pivotal trial failure could eliminate the regulatory pathway for a specific indication and significantly impair the company's valuation</w:t>
      </w:r>
    </w:p>
    <w:p>
      <w:pPr>
        <w:spacing w:before="40" w:after="40"/>
        <w:ind w:left="283"/>
      </w:pPr>
      <w:r>
        <w:rPr>
          <w:rFonts w:ascii="Calibri" w:hAnsi="Calibri"/>
          <w:b/>
          <w:color w:val="4A6B25"/>
          <w:sz w:val="20"/>
        </w:rPr>
        <w:t xml:space="preserve">2. </w:t>
      </w:r>
      <w:r>
        <w:rPr>
          <w:rFonts w:ascii="Calibri" w:hAnsi="Calibri"/>
          <w:b w:val="0"/>
          <w:color w:val="3A4A28"/>
          <w:sz w:val="20"/>
        </w:rPr>
        <w:t>Ferring's Adstiladrin already holds FDA approval for BCG-unresponsive NMIBC, establishing a first-mover advantage that cretostimogene must overcome with superior efficacy or safety data</w:t>
      </w:r>
    </w:p>
    <w:p>
      <w:pPr>
        <w:spacing w:before="40" w:after="40"/>
        <w:ind w:left="283"/>
      </w:pPr>
      <w:r>
        <w:rPr>
          <w:rFonts w:ascii="Calibri" w:hAnsi="Calibri"/>
          <w:b/>
          <w:color w:val="4A6B25"/>
          <w:sz w:val="20"/>
        </w:rPr>
        <w:t xml:space="preserve">3. </w:t>
      </w:r>
      <w:r>
        <w:rPr>
          <w:rFonts w:ascii="Calibri" w:hAnsi="Calibri"/>
          <w:b w:val="0"/>
          <w:color w:val="3A4A28"/>
          <w:sz w:val="20"/>
        </w:rPr>
        <w:t>Net loss widening to $161M in 2025 with $190M in combined R&amp;D and G&amp;A expenses — commercialization costs for a bladder cancer launch would require significant additional investment beyond the current $903M cash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CG Oncology's core business — developing an oncolytic immunotherapy through FDA-regulated clinical trials requiring physical patient dosing, tissue analysis, and rigorous safety monitoring — is structurally protected from AI disruption. The clinical trial process, BLA submission, and eventual manufacturing of a biologic therapy involve wet-lab science, GMP manufacturing, and regulatory expertise that AI cannot substitute [1][2]. Oncolytic virotherapy is a physical modality requiring viral vector engineering and intravesical administration — inherently resistant to digital substitution. Minor exposure exists from AI potentially accelerating competing drug development timelines. AI Opportunity (1/1): AI tools for clinical trial optimization (patient selection, site selection, safety signal detection) could enhance CG Oncology's trial efficiency, and the company's use of Veeva's collaborative safety solution suggests openness to technology-enabled clinical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CG Oncology 2025 Year-End Financial Results and Business Updates, February 27, 2026</w:t>
      </w:r>
    </w:p>
    <w:p>
      <w:pPr>
        <w:spacing w:before="20" w:after="20"/>
        <w:ind w:left="170"/>
      </w:pPr>
      <w:r>
        <w:rPr>
          <w:rFonts w:ascii="Calibri" w:hAnsi="Calibri"/>
          <w:b/>
          <w:color w:val="4A6B25"/>
          <w:sz w:val="15"/>
        </w:rPr>
        <w:t xml:space="preserve">2. </w:t>
      </w:r>
      <w:r>
        <w:rPr>
          <w:rFonts w:ascii="Calibri" w:hAnsi="Calibri"/>
          <w:b w:val="0"/>
          <w:color w:val="3A4A28"/>
          <w:sz w:val="17"/>
        </w:rPr>
        <w:t>CG Oncology corporate website, leadership profiles, BCAN partnership, and Glassdoor,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CGON key statistics and company profile,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