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CGTL</w:t>
      </w:r>
      <w:r>
        <w:rPr>
          <w:rFonts w:ascii="Calibri" w:hAnsi="Calibri"/>
          <w:b/>
          <w:color w:val="1A2010"/>
          <w:sz w:val="40"/>
        </w:rPr>
        <w:t xml:space="preserve">  Creative Global Technology Holdings Limited</w:t>
      </w:r>
    </w:p>
    <w:p>
      <w:pPr>
        <w:spacing w:after="120"/>
      </w:pPr>
      <w:r>
        <w:rPr>
          <w:rFonts w:ascii="Calibri" w:hAnsi="Calibri"/>
          <w:b/>
          <w:color w:val="6E8450"/>
          <w:sz w:val="18"/>
        </w:rPr>
        <w:t>GROWTH SLEEVE · 2026-04-29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Hong Kong</w:t>
      </w:r>
    </w:p>
    <w:p>
      <w:pPr>
        <w:spacing w:after="80"/>
      </w:pPr>
      <w:r>
        <w:rPr>
          <w:rFonts w:ascii="Calibri" w:hAnsi="Calibri"/>
          <w:b w:val="0"/>
          <w:color w:val="3A4A28"/>
          <w:sz w:val="20"/>
        </w:rPr>
        <w:t>Creative Global Technology Holdings Limited is an investment holding company that sources and resells recycled consumer electronic devices including smartphones, tablets, and laptops, facilitating the flow of retired devices from affluent markets like the United States and Japan to developing regions seeking affordable technology. Founded in 2016 and headquartered in Kwun Tong, Hong Kong, the company IPO'd on the Nasdaq Capital Market in November 2024.</w:t>
      </w:r>
    </w:p>
    <w:p>
      <w:r>
        <w:rPr>
          <w:rFonts w:ascii="Calibri" w:hAnsi="Calibri"/>
          <w:b/>
          <w:color w:val="6E8450"/>
          <w:sz w:val="18"/>
        </w:rPr>
        <w:t>12 Employees · https://www.creativeglobaltechnology.com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CGTL operates as a recycled electronics reseller with no meaningful product development or innovation track record — the business model of sourcing and reselling pre-owned devices has remained unchanged since founding in 2016 (0/3 on track record) [1]. No AI deployment or measurable AI-driven results are evident (0/2) [2]. The company holds no market share leadership in any category, operating as a small intermediary in the massive global refurbished electronics market (0/2). No next-generation products or pipeline visibility exists (0/2). R&amp;D intensity is effectively zero with only 12 employees and no disclosed R&amp;D spending (0/1) [2]. Total: 0/10, floored to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CGTL has no publicly articulated mission, vision, or purpose statement beyond its business description of sourcing and reselling recycled electronics — the company exists to facilitate device arbitrage between affluent and developing markets, which is functional but not purpose-driven (mission floor: 0/4) [1]. No evidence of community or charitable programs exists for this 12-person company (0/2). No employee retention data is available, and with only 12 employees the sample is too small for meaningful analysis (0/2). No insider buying data was found; insiders hold significant shares but no net buying activity was reported (0/2) [3]. Total: 0/10, floored to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average daily volume of 411,131 shares x $1.18 stock price = $485,135, which falls below the $1,000,000 minimum threshold [2]. Even without the liquidity floor, underlying metrics are deeply distressed: D/E of 0.1% is healthy but ROE is -84.9%, revenue declined 41% YoY, profit margin is -63.2%, and the company faces Nasdaq delisting risk for failing to maintain a $1.00 minimum bid price [1]. The company reported TTM net losses of $13.4M on only $21.2M in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CGTL exhibits a finite mindset characteristic of a small, recently-public company focused on short-term survival rather than long-term purpose. The company faces Nasdaq delisting risk, declining revenues, and mounting losses with no articulated vision beyond device arbitrage between markets. Leadership appears focused on maintaining listing compliance and revenue stabilization rather than building for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CGTL's business exists to arbitrage price differences in used electronics between affluent and developing markets — a functional commercial activity but not a vision of a better future that inspires sacrifice or devotion [1]. The company has no articulated purpose beyond its transactional business model. Score: 0/3 -&gt; display 1/10.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12 employees, the company is small enough that trust dynamics are likely personal rather than institutional. No evidence of cultural dysfunction or high turnover, but also no evidence of exceptional trust-building practices [2]. The small team likely functions as a tight-knit unit by necessity. Score: 1/2 -&gt; display 6/10.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worthy rival acknowledgment in public communications. CGTL operates in a fragmented market with larger competitors like Back Market, Gazelle, and other refurbished electronics platforms but does not reference learning from these competitors or using competitive pressure for self-improvement [1]. Score: 0/1 -&gt; display 3/10.</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CGTL has shown no evidence of strategic flexibility or business model evolution since its 2016 founding. The company continues to operate the same sourcing-and-reselling model for pre-owned electronics without entering adjacent markets or adapting its approach [1]. The company is too young and too small to have demonstrated transformative flexibility. Score: 0/2 -&gt; display 2/10.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a Nasdaq IPO in November 2024 for a small Hong Kong-based recycled electronics business represents some leadership conviction, even if the stock has subsequently struggled [1]. However, no evidence exists of leadership making costly long-term bets or sacrificing short-term results for future capability. The company appears focused on survival rather than courageous long-term investment. Score: 1/2 -&gt; display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CGTL operates in the growing global refurbished electronics market, which is projected to reach $150B+ by 2030 driven by sustainability trends and demand for affordable technology in developing markets. The company's gross margin improvement to 17.8% from 9.9% in FY2024 suggests some success in shifting toward higher-margin orders, and the extremely low D/E ratio of 0.1% indicates minimal balance sheet leverage risk [1].</w:t>
      </w:r>
    </w:p>
    <w:p>
      <w:pPr>
        <w:spacing w:after="120"/>
      </w:pPr>
      <w:r>
        <w:rPr>
          <w:rFonts w:ascii="Calibri" w:hAnsi="Calibri"/>
          <w:b w:val="0"/>
          <w:color w:val="3A4A28"/>
          <w:sz w:val="20"/>
        </w:rPr>
        <w:t>The bear case is severe: TTM revenue has collapsed to $21.2M with a net loss of $13.4M, the company faces Nasdaq delisting risk after failing to maintain a $1.00 bid price, and with only 12 employees and a $30M market cap, CGTL lacks the scale, brand recognition, and operational infrastructure to compete against well-funded platforms like Back Market [2]. The company has no institutional investor backing, no analyst coverage, and extremely thin liquidity that makes it unsuitable for any meaningful portfolio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Nasdaq compliance regain by maintaining $1.00+ bid price for 10 consecutive business days before the March 2026 deadline could stabilize the stock</w:t>
      </w:r>
    </w:p>
    <w:p>
      <w:pPr>
        <w:spacing w:before="40" w:after="40"/>
        <w:ind w:left="283"/>
      </w:pPr>
      <w:r>
        <w:rPr>
          <w:rFonts w:ascii="Calibri" w:hAnsi="Calibri"/>
          <w:b/>
          <w:color w:val="4A6B25"/>
          <w:sz w:val="20"/>
        </w:rPr>
        <w:t xml:space="preserve">2. </w:t>
      </w:r>
      <w:r>
        <w:rPr>
          <w:rFonts w:ascii="Calibri" w:hAnsi="Calibri"/>
          <w:b w:val="0"/>
          <w:color w:val="3A4A28"/>
          <w:sz w:val="20"/>
        </w:rPr>
        <w:t>Continued shift toward higher-margin device categories could improve profitability trajectory from the 17.8% gross margin achieved in FY2024</w:t>
      </w:r>
    </w:p>
    <w:p>
      <w:pPr>
        <w:spacing w:before="40" w:after="40"/>
        <w:ind w:left="283"/>
      </w:pPr>
      <w:r>
        <w:rPr>
          <w:rFonts w:ascii="Calibri" w:hAnsi="Calibri"/>
          <w:b/>
          <w:color w:val="4A6B25"/>
          <w:sz w:val="20"/>
        </w:rPr>
        <w:t xml:space="preserve">3. </w:t>
      </w:r>
      <w:r>
        <w:rPr>
          <w:rFonts w:ascii="Calibri" w:hAnsi="Calibri"/>
          <w:b w:val="0"/>
          <w:color w:val="3A4A28"/>
          <w:sz w:val="20"/>
        </w:rPr>
        <w:t>Growing global demand for affordable refurbished electronics in developing markets, driven by rising smartphone adoption and sustainability mandates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is immediate and existential — failure to regain $1.00 bid price compliance would remove access to U.S. capital markets and likely cause further share price deterioration</w:t>
      </w:r>
    </w:p>
    <w:p>
      <w:pPr>
        <w:spacing w:before="40" w:after="40"/>
        <w:ind w:left="283"/>
      </w:pPr>
      <w:r>
        <w:rPr>
          <w:rFonts w:ascii="Calibri" w:hAnsi="Calibri"/>
          <w:b/>
          <w:color w:val="4A6B25"/>
          <w:sz w:val="20"/>
        </w:rPr>
        <w:t xml:space="preserve">2. </w:t>
      </w:r>
      <w:r>
        <w:rPr>
          <w:rFonts w:ascii="Calibri" w:hAnsi="Calibri"/>
          <w:b w:val="0"/>
          <w:color w:val="3A4A28"/>
          <w:sz w:val="20"/>
        </w:rPr>
        <w:t>Revenue declining 41% YoY with mounting losses suggests the business model may not be viable at current scale, and the 12-person workforce cannot sustain further contraction</w:t>
      </w:r>
    </w:p>
    <w:p>
      <w:pPr>
        <w:spacing w:before="40" w:after="40"/>
        <w:ind w:left="283"/>
      </w:pPr>
      <w:r>
        <w:rPr>
          <w:rFonts w:ascii="Calibri" w:hAnsi="Calibri"/>
          <w:b/>
          <w:color w:val="4A6B25"/>
          <w:sz w:val="20"/>
        </w:rPr>
        <w:t xml:space="preserve">3. </w:t>
      </w:r>
      <w:r>
        <w:rPr>
          <w:rFonts w:ascii="Calibri" w:hAnsi="Calibri"/>
          <w:b w:val="0"/>
          <w:color w:val="3A4A28"/>
          <w:sz w:val="20"/>
        </w:rPr>
        <w:t>Zero institutional ownership and no analyst coverage leave the stock without price support or visibility, while avg daily dollar volume below $500K makes it effectively untradeable for any institutional investor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CGTL's core business of physically sourcing, inspecting, grading, and reselling recycled electronics involves hands-on logistics and device handling that AI cannot fully automate, providing moderate protection from AI disruption (5/9 on risk protection) [1]. However, AI-powered pricing algorithms and automated device grading tools from larger competitors like Back Market and Decluttr could erode CGTL's intermediary margins over time. The company generates no AI-related revenue and has no AI products or capabilities (0/1 on AI opportunity) [2]. At only 12 employees and $21.2M TTM revenue, the company lacks the scale to invest in AI-enabled operations, leaving it exposed to better-capitalized competitors who deploy AI for device valuation, demand forecasting, and logistics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Creative Global Technology Holdings Limited FY2024 Annual Report and SEC Filings, 2025</w:t>
      </w:r>
    </w:p>
    <w:p>
      <w:pPr>
        <w:spacing w:before="20" w:after="20"/>
        <w:ind w:left="170"/>
      </w:pPr>
      <w:r>
        <w:rPr>
          <w:rFonts w:ascii="Calibri" w:hAnsi="Calibri"/>
          <w:b/>
          <w:color w:val="4A6B25"/>
          <w:sz w:val="15"/>
        </w:rPr>
        <w:t xml:space="preserve">2. </w:t>
      </w:r>
      <w:r>
        <w:rPr>
          <w:rFonts w:ascii="Calibri" w:hAnsi="Calibri"/>
          <w:b w:val="0"/>
          <w:color w:val="3A4A28"/>
          <w:sz w:val="17"/>
        </w:rPr>
        <w:t>Yahoo Finance — CGTL key statistics and company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CGTL insider ownership and market cap analysis,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