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CG</w:t>
      </w:r>
      <w:r>
        <w:rPr>
          <w:rFonts w:ascii="Calibri" w:hAnsi="Calibri"/>
          <w:b/>
          <w:color w:val="1A2010"/>
          <w:sz w:val="40"/>
        </w:rPr>
        <w:t xml:space="preserve">  The Carlyle Group Inc.</w:t>
      </w:r>
    </w:p>
    <w:p>
      <w:pPr>
        <w:spacing w:after="120"/>
      </w:pPr>
      <w:r>
        <w:rPr>
          <w:rFonts w:ascii="Calibri" w:hAnsi="Calibri"/>
          <w:b/>
          <w:color w:val="6E8450"/>
          <w:sz w:val="18"/>
        </w:rPr>
        <w:t>DIVIDEND SLEEVE · 2026-04-09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The Carlyle Group Inc. is a global alternative asset management firm with $477 billion in total AUM across four segments: Corporate Private Equity, Real Assets, Global Credit, and Solutions. Founded in 1987 and headquartered in Washington, D.C., Carlyle invests across buyouts, growth equity, credit, real estate, infrastructure, and natural resources, serving institutional investors worldwide.</w:t>
      </w:r>
    </w:p>
    <w:p>
      <w:r>
        <w:rPr>
          <w:rFonts w:ascii="Calibri" w:hAnsi="Calibri"/>
          <w:b/>
          <w:color w:val="6E8450"/>
          <w:sz w:val="18"/>
        </w:rPr>
        <w:t>2,500 Employees · https://www.carlyle.com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Harvey Schwartz (appointed Feb 2023), Carlyle has been systematically reshaped — fee-related earnings grew 12% organically to a record $1.24B in 2025, FRE margin reached an all-time high of 47%, and fee-earning AUM grew 11% to $337B [1]. The diversification into Global Credit and Solutions/AlpInvest (up 27%) represents meaningful strategic evolution. AI Deployment (1/2): Carlyle hosted its first AI Innovation Day in 2025, curating 16 founder-led AI companies and bringing 340+ portfolio company executives together to explore AI deployment [2]. The firm is integrating AI into portfolio analysis and deal sourcing, though no specific revenue or cost savings figures were disclosed. Market Share (1/2): $477B total AUM makes Carlyle a major alternative asset manager, though it trails Blackstone ($1T+), Apollo, and KKR in scale. The firm is gaining share in credit and solutions [1]. Pipeline (2/2): The February 2026 Shareholder Update set specific three-year targets: $1.9B+ FRE, $200B+ inflows, and $6.00+ distributable earnings per share by end of 2028, with a new $2B share repurchase authorization [3]. R&amp;D Intensity (0/1): Not applicable to asset management; innovation comes through investment strategy and platform development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Carlyle's purpose — 'investing to create lasting value for our investors, portfolio companies, shareholders, and communities' — is specific and connects the firm's work to stakeholder impact beyond financial returns [2]. It differentiates from pure-play financial engineering by emphasizing operational value creation. Community Impact (1/2): Carlyle achieved net zero carbon emissions (Scope 2 and 3) as of 2017, earned a 100% rating on the Human Rights Campaign Corporate Equality Index, and publishes annual ESG/Impact reports [4]. However, specific charitable dollar amounts are not prominently quantified. Employee Retention (1/2): Schwartz's 3-year tenure has stabilized the firm after the turbulent co-CEO departures. Glassdoor rating of 3.5/5 with 77% recommendation rate and 4.0/5 career opportunities score suggests reasonably engaged workforce, though work-life balance (3.5) reflects PE industry norms [2]. Insider Buying (0/2): No evidence of meaningful net insider buying by Schwartz or executives in recent periods. Schwartz receives $29.6M total compensation (96.6% equity-based), creating alignment through compensation rather than discretionary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Carlyle's financial profile shows strong earnings power with some balance sheet leverage typical of alternative asset managers. Forward P/E of 9.0x is extremely attractive, well below the 20x target, reflecting the market's discount for alternative managers' earnings volatility [5]. Revenue growth of 93.9% YoY (to $3.2B) reflects strong realization activity and fee growth, though 5-year CAGR of -1.4% reveals the cyclicality of performance fees. ROE of 14.1% is near the 15% target. Profit margin of 20.1% is strong. D/E of 196.9% is elevated, reflecting $13.9B total debt against $3.2B cash — typical for asset managers with balance sheet investments but scoring 0.45 on the metric [5]. Dividend payout ratio of 64.2% is above the 40% target, and consecutive years growth is 0 (dividend held flat at $1.40 in 2024-2025 after cuts). However, 14 consecutive years paid and 7.0% 5yr dividend growth CAGR are solid. Liquidity floor cleared: 3.29M avg vol × $48.18 = $158M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Carlyle under Harvey Schwartz is rebuilding institutional durability after a turbulent leadership period. The three-year financial targets ($1.9B FRE, $200B+ inflows, $6.00+ DE/share by 2028) show commitment to sustainable platform growth rather than short-term fee harvesting. However, the PE industry's structural incentive to optimize for fund-level returns over stakeholder impact limits infinite game credibility.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'Investing to create lasting value' is genuine and connects Carlyle's work to stakeholder outcomes beyond financial returns. However, this purpose is standard across the alternative asset management industry — KKR, Apollo, and Blackstone articulate similar missions [2]. The cause has not been tested through a genuine strategic crisis under Schwartz's leadership, and the PE model's carry-based compensation inherently incentivizes finite-game behavior (maximize fund returns within a 5-7 year hold).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Schwartz has stabilized Carlyle after the tumultuous period of co-CEO departures and strategic drift. The 77% Glassdoor recommendation rate and 4.0/5 career opportunities score suggest employees see a path forward [2]. However, PE firms inherently operate with competitive internal cultures, and the industry's up-or-out promotion model creates tension with Sinek's concept of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Schwartz explicitly acknowledges Blackstone, KKR, and Apollo as platforms to benchmark against, and the three-year targets were framed as Carlyle closing the gap with larger peers rather than 'winning' the industry [3]. The firm's AI Innovation Day and credit expansion were inspired by competitive dynamics, reflecting a learning-oriented competitive posture.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Carlyle has evolved from a traditional private equity buyout shop (founded 1987) to a diversified alternative asset manager spanning PE, credit ($337B fee-earning AUM), real assets, solutions, and insurance channels [1]. The AlpInvest solutions business grew 27% in 2025, and Global Credit expanded 10% — these represent meaningful strategic expansion beyond the legacy PE business. However, none constitutes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Harvey Schwartz made difficult decisions upon arrival in 2023: restructuring leadership, resetting strategic priorities toward durable fee-earning revenue, and investing in credit/solutions capabilities that compressed near-term margins for long-term platform value [1][3]. Setting specific public three-year targets ($1.9B FRE, $200B inflows) creates accountability that many PE firms avoid. The $2B buyback authorization during market uncertainty shows capital allocation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Carlyle Group is undergoing a transformation under CEO Harvey Schwartz that is producing tangible results: record FRE of $1.24B (12% organic growth), FRE margin of 47% (all-time high), fee-earning AUM of $337B (up 11%), and total AUM of $477B [1]. At 9.0x forward P/E with $5.35 forward EPS, CG trades at a significant discount to peers despite improving fundamentals. The February 2026 Shareholder Update set specific three-year targets — $1.9B+ FRE, $200B+ inflows, $6.00+ DE/share by 2028 — backed by a $2B share repurchase authorization [3]. The 2.9% dividend yield and diversifying revenue streams (credit, solutions, insurance) create a compelling risk/reward for patient investors.</w:t>
      </w:r>
    </w:p>
    <w:p>
      <w:pPr>
        <w:spacing w:after="120"/>
      </w:pPr>
      <w:r>
        <w:rPr>
          <w:rFonts w:ascii="Calibri" w:hAnsi="Calibri"/>
          <w:b w:val="0"/>
          <w:color w:val="3A4A28"/>
          <w:sz w:val="20"/>
        </w:rPr>
        <w:t>The bear case focuses on earnings cyclicality, leverage, and competitive positioning. Revenue swung from $3.4B (2024) to $1.3B (2023) to $3.4B (2024) again, with a 5-year CAGR of -1.4%, underscoring how performance fees create volatile earnings streams [5]. D/E of 197% reflects $13.9B in balance sheet debt that amplifies downside in a credit cycle downturn. The payout ratio of 64% limits dividend growth flexibility — the dividend was held flat at $1.40 for two consecutive years after being cut in 2020. Carlyle remains the smallest of the four major publicly traded alternative managers (behind BX, KKR, APO), creating a scale disadvantage in fundraising and deal sourcing. Schwartz's restructuring is producing results, but the PE industry faces secular pressure from LP fee compression and increased competition from sovereign wealth funds investing directly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on three-year targets: $1.9B+ FRE and $200B+ inflows by 2028 would demonstrate sustainable platform growth and likely drive multiple expansion toward peers [3]</w:t>
      </w:r>
    </w:p>
    <w:p>
      <w:pPr>
        <w:spacing w:before="40" w:after="40"/>
        <w:ind w:left="283"/>
      </w:pPr>
      <w:r>
        <w:rPr>
          <w:rFonts w:ascii="Calibri" w:hAnsi="Calibri"/>
          <w:b/>
          <w:color w:val="4A6B25"/>
          <w:sz w:val="20"/>
        </w:rPr>
        <w:t xml:space="preserve">2. </w:t>
      </w:r>
      <w:r>
        <w:rPr>
          <w:rFonts w:ascii="Calibri" w:hAnsi="Calibri"/>
          <w:b w:val="0"/>
          <w:color w:val="3A4A28"/>
          <w:sz w:val="20"/>
        </w:rPr>
        <w:t>Credit platform expansion — Global Credit AUM grew 10% in 2025 and is positioned to benefit from bank disintermediation and CLO market growth, providing more durable fee streams [1]</w:t>
      </w:r>
    </w:p>
    <w:p>
      <w:pPr>
        <w:spacing w:before="40" w:after="40"/>
        <w:ind w:left="283"/>
      </w:pPr>
      <w:r>
        <w:rPr>
          <w:rFonts w:ascii="Calibri" w:hAnsi="Calibri"/>
          <w:b/>
          <w:color w:val="4A6B25"/>
          <w:sz w:val="20"/>
        </w:rPr>
        <w:t xml:space="preserve">3. </w:t>
      </w:r>
      <w:r>
        <w:rPr>
          <w:rFonts w:ascii="Calibri" w:hAnsi="Calibri"/>
          <w:b w:val="0"/>
          <w:color w:val="3A4A28"/>
          <w:sz w:val="20"/>
        </w:rPr>
        <w:t>Share repurchase acceleration — $2B authorization at a 9x forward P/E represents highly accretive capital return that compounds distributable earnings per share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cyclicality — realization-dependent revenue swung from $3.4B to $1.3B to $3.4B over three years; a PE exit drought would collapse distributable earnings [5]</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of 197% D/E ($13.9B debt) amplifies risk in a credit cycle downturn, particularly for the balance sheet investment portfolio [5]</w:t>
      </w:r>
    </w:p>
    <w:p>
      <w:pPr>
        <w:spacing w:before="40" w:after="40"/>
        <w:ind w:left="283"/>
      </w:pPr>
      <w:r>
        <w:rPr>
          <w:rFonts w:ascii="Calibri" w:hAnsi="Calibri"/>
          <w:b/>
          <w:color w:val="4A6B25"/>
          <w:sz w:val="20"/>
        </w:rPr>
        <w:t xml:space="preserve">3. </w:t>
      </w:r>
      <w:r>
        <w:rPr>
          <w:rFonts w:ascii="Calibri" w:hAnsi="Calibri"/>
          <w:b w:val="0"/>
          <w:color w:val="3A4A28"/>
          <w:sz w:val="20"/>
        </w:rPr>
        <w:t>Scale disadvantage versus Blackstone, KKR, and Apollo in fundraising, deal sourcing, and talent retention as the alternative asset industry consolidates around larger platforms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Carlyle's core business — sourcing, structuring, and managing private equity and credit investments — requires human judgment, relationship networks, and institutional access that AI cannot fully replicate [2]. However, AI tools are rapidly commoditizing aspects of deal sourcing, due diligence, financial modeling, and market research that junior investment professionals traditionally perform. AI-driven quantitative strategies in credit markets could compress margins. The firm's private equity business (requiring board seats, operational expertise, and relationship-based deal flow) is more protected than the credit business. AI Opportunity (1/1): Carlyle is actively investing in AI — the AI Innovation Day showcased 16 portfolio AI companies, and the firm is deploying AI across portfolio company operations. Carlyle's $477B AUM includes investments in AI infrastructure and AI-native businesses that generate meaningful returns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Alcohol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Carlyle Group Q4/FY2025 Earnings Release — record $1.24B FRE, $337B fee-earning AUM, 47% FRE margin, February 2026</w:t>
      </w:r>
    </w:p>
    <w:p>
      <w:pPr>
        <w:spacing w:before="20" w:after="20"/>
        <w:ind w:left="170"/>
      </w:pPr>
      <w:r>
        <w:rPr>
          <w:rFonts w:ascii="Calibri" w:hAnsi="Calibri"/>
          <w:b/>
          <w:color w:val="4A6B25"/>
          <w:sz w:val="15"/>
        </w:rPr>
        <w:t xml:space="preserve">2. </w:t>
      </w:r>
      <w:r>
        <w:rPr>
          <w:rFonts w:ascii="Calibri" w:hAnsi="Calibri"/>
          <w:b w:val="0"/>
          <w:color w:val="3A4A28"/>
          <w:sz w:val="17"/>
        </w:rPr>
        <w:t>Carlyle Group corporate website — AI Innovation Day, ESG/Impact reports, leadership team, Glassdoor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Carlyle 2026 Shareholder Update — $1.9B FRE target, $200B+ inflows, $6.00+ DE/share by 2028, $2B buyback, February 26, 2026</w:t>
      </w:r>
    </w:p>
    <w:p>
      <w:pPr>
        <w:spacing w:before="20" w:after="20"/>
        <w:ind w:left="170"/>
      </w:pPr>
      <w:r>
        <w:rPr>
          <w:rFonts w:ascii="Calibri" w:hAnsi="Calibri"/>
          <w:b/>
          <w:color w:val="4A6B25"/>
          <w:sz w:val="15"/>
        </w:rPr>
        <w:t xml:space="preserve">4. </w:t>
      </w:r>
      <w:r>
        <w:rPr>
          <w:rFonts w:ascii="Calibri" w:hAnsi="Calibri"/>
          <w:b w:val="0"/>
          <w:color w:val="3A4A28"/>
          <w:sz w:val="17"/>
        </w:rPr>
        <w:t>Carlyle ESG Report 2025 — net zero since 2017, HRC 100% rating, sustainability integration</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CG (Carlyle Group), retrieved April 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