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CHRD</w:t>
      </w:r>
      <w:r>
        <w:rPr>
          <w:rFonts w:ascii="Calibri" w:hAnsi="Calibri"/>
          <w:b/>
          <w:color w:val="1A2010"/>
          <w:sz w:val="40"/>
        </w:rPr>
        <w:t xml:space="preserve">  Chord Energy Corporation</w:t>
      </w:r>
    </w:p>
    <w:p>
      <w:pPr>
        <w:spacing w:after="120"/>
      </w:pPr>
      <w:r>
        <w:rPr>
          <w:rFonts w:ascii="Calibri" w:hAnsi="Calibri"/>
          <w:b/>
          <w:color w:val="6E8450"/>
          <w:sz w:val="18"/>
        </w:rPr>
        <w:t>DIVIDEND SLEEVE · 2026-05-05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Chord Energy is an independent exploration and production company focused on the acquisition, exploration, development, and production of crude oil, natural gas, and natural gas liquids in the Williston Basin of Montana and North Dakota. Formed from the merger of Oasis Petroleum and Whiting Petroleum in 2022, later merging with Enerplus in 2024.</w:t>
      </w:r>
    </w:p>
    <w:p>
      <w:r>
        <w:rPr>
          <w:rFonts w:ascii="Calibri" w:hAnsi="Calibri"/>
          <w:b/>
          <w:color w:val="6E8450"/>
          <w:sz w:val="18"/>
        </w:rPr>
        <w:t>676 Employees · https://www.chordenergy.com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Chord executed two transformative mergers — Oasis/Whiting in 2022 and the Enerplus acquisition in 2024 — consolidating its Williston Basin position and achieving scale [1]. These are financial/operational transformations rather than product innovation. AI Deployment (1/2): CEO Danny Brown has discussed the growing role of AI in drilling operations and completions optimization, with the company deploying technology for extended lateral drilling (4+ mile laterals) [2]. Market Share (1/2): Chord is a leading Williston Basin operator with meaningful scale post-Enerplus, but operates in a commodity market without dominant pricing power. Pipeline (1/2): The company's extended lateral program and optimal spacing technology provide operational innovation with clear execution timelines for 2026 [1]. R&amp;D Intensity (0/1): E&amp;P companies generally have low traditional R&amp;D spending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Chord's website emphasizes 'responsible development of oil and natural gas resources' with a focus on operational excellence, shareholder returns, and sustainability — clear but standard for the E&amp;P sector [2]. Community Impact (1/2): Chord published a 2024 Sustainability Report highlighting community involvement and environmental stewardship in its Williston Basin operating areas [3]. Employee development recognized by TopWorkplaces.com 2025. Employee Retention (1/2): Named a Top Workplace for Frontline Workers 2026 and Professional Development Top Workplace 2025, suggesting above-average employee satisfaction for the sector [2]. With 676 employees, the company maintains a lean, focused organization. Insider Buying (1/2): Limited data on recent net insider buying; the company returns substantial capital to shareholders through dividends and buybacks, indicating management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Chord's trailing metrics are severely impacted by impairment charges and one-time items (trailing EPS $0.75 vs forward EPS $14.74, profit margin 0.97%) [4]. Mechanically: D/E 18.7% scores 1.0, ROE 0.53% scores 0.04, Rev YoY -19.4% scores 0.02, Rev 5yr CAGR ~10% scores 1.0, Forward P/E 10.1 scores 1.0, Profit Margin 0.97% scores 0.05, Payout Ratio 702.7% scores 0.0, Consecutive Years Paid 5 scores 0.5 (2x weight), Consecutive Years Growth 0 scores 0.0, 5yr Div Growth CAGR negative scores 0.0 (2x weight). Weighted sum 4.11/12 = 0.34 × 10 = 3.4, rounds to 4 [4]. Balance sheet is strong ($1.5B debt against $2.0B operating cash flow), but trailing profitability metrics and declining dividend trajectory penalize the score. Liquidity floor cleared: 1.07M avg vol × $149.25 = $159.6M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Chord Energy shows mixed infinite game characteristics — the serial acquisition strategy (Oasis + Whiting → Chord → Enerplus) demonstrates strategic ambition, but the focus on capital returns, variable dividends, and shareholder value language suggests a primarily finite orientation. The company plays to win in the Williston Basin rather than pursuing an enduring cause beyond efficient hydrocarbon extraction.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Chord's purpose centers on 'responsible energy development' and 'maximizing shareholder returns' [2]. While responsible operations have merit, the company's communications emphasize financial returns, capital efficiency, and Basin consolidation rather than a vision of a better future. The variable dividend structure (cutting from $2.94 to $1.30/quarter) reflects finite game optimization for current conditions.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Recognition as a TopWorkplaces.com Professional Development employer (2025) and Top Workplace for Frontline Workers (2026) indicates above-average employee culture [2]. CEO Danny Brown has led since the 2022 formation, providing leadership continuity. The successful integration of Enerplus (2024) without major cultural disruption suggests organizational health.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Chord's M&amp;A strategy — acquiring Enerplus and consolidating Williston Basin acreage — reflects a competitive approach focused on scale and market position rather than learning from rivals [1]. The language around 'being the leading Williston Basin operator' emphasizes winning rather than improving.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Oasis Petroleum (focused E&amp;P) to Chord Energy (merger with Whiting) to the Enerplus acquisition shows willingness to evolve the business through consolidation [1]. However, these are scale plays within the same business model — the company has not fundamentally reinvented what it does or how it creates value.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Enerplus merger required conviction to execute a major acquisition during volatile oil markets. Danny Brown has invested in extended lateral technology (4+ mile laterals) pushing technical boundaries [2]. However, cutting the dividend from $2.94 to $1.30/quarter prioritizes financial conservatism over shareholder commitment.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Chord Energy is a well-capitalized Williston Basin pure-play generating approximately $2.3B adjusted EBITDA and $700M adjusted free cash flow at $64/bbl WTI, with a forward P/E of just 10.1x reflecting deep value for normalized earnings [1]. The Enerplus integration is complete, creating operational efficiencies across 157-161 MBopd of oil production for approximately $1.4B CapEx in 2026. Low debt-to-equity (18.7%) and $2.0B operating cash flow provide financial durability through commodity cycles [4]. The 3.48% dividend yield and share repurchase program offer meaningful total shareholder returns even in a flat oil price environment.</w:t>
      </w:r>
    </w:p>
    <w:p>
      <w:pPr>
        <w:spacing w:after="120"/>
      </w:pPr>
      <w:r>
        <w:rPr>
          <w:rFonts w:ascii="Calibri" w:hAnsi="Calibri"/>
          <w:b w:val="0"/>
          <w:color w:val="3A4A28"/>
          <w:sz w:val="20"/>
        </w:rPr>
        <w:t>The bear case is commodity price risk and structural decline in trailing metrics. Full-year 2025 earnings collapsed (EPS $0.75 vs $16.02 in 2024) due to impairment charges and lower realized prices, creating a distorted trailing P/E of 199x [4]. Revenue declined 19.4% YoY reflecting lower commodity prices and production mix changes post-Enerplus integration. The variable dividend was cut from $2.94 to $1.30/quarter, signaling management's response to lower cash flows. The Williston Basin is a mature producing region with limited inventory upside compared to the Permian; if oil prices remain below $65/bbl, the company's capital program and return targets compress. The company's 0.97% trailing profit margin (though impairment-distorted) highlights commodity price sensitivity that creates earnings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Normalization of trailing earnings metrics in 2026 — forward EPS of $14.74 implies P/E compression from 199x to 10x as impairment charges roll off [4]</w:t>
      </w:r>
    </w:p>
    <w:p>
      <w:pPr>
        <w:spacing w:before="40" w:after="40"/>
        <w:ind w:left="283"/>
      </w:pPr>
      <w:r>
        <w:rPr>
          <w:rFonts w:ascii="Calibri" w:hAnsi="Calibri"/>
          <w:b/>
          <w:color w:val="4A6B25"/>
          <w:sz w:val="20"/>
        </w:rPr>
        <w:t xml:space="preserve">2. </w:t>
      </w:r>
      <w:r>
        <w:rPr>
          <w:rFonts w:ascii="Calibri" w:hAnsi="Calibri"/>
          <w:b w:val="0"/>
          <w:color w:val="3A4A28"/>
          <w:sz w:val="20"/>
        </w:rPr>
        <w:t>Enerplus synergy realization and extended lateral drilling program (4+ mile laterals) driving lower per-unit costs [2]</w:t>
      </w:r>
    </w:p>
    <w:p>
      <w:pPr>
        <w:spacing w:before="40" w:after="40"/>
        <w:ind w:left="283"/>
      </w:pPr>
      <w:r>
        <w:rPr>
          <w:rFonts w:ascii="Calibri" w:hAnsi="Calibri"/>
          <w:b/>
          <w:color w:val="4A6B25"/>
          <w:sz w:val="20"/>
        </w:rPr>
        <w:t xml:space="preserve">3. </w:t>
      </w:r>
      <w:r>
        <w:rPr>
          <w:rFonts w:ascii="Calibri" w:hAnsi="Calibri"/>
          <w:b w:val="0"/>
          <w:color w:val="3A4A28"/>
          <w:sz w:val="20"/>
        </w:rPr>
        <w:t>Stable oil price environment above $65/bbl WTI enabling full capital return program restoration and potential dividend increase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WTI crude price decline below $60/bbl would compress free cash flow below dividend coverage, forcing further dividend cuts and reduced capital returns [1]</w:t>
      </w:r>
    </w:p>
    <w:p>
      <w:pPr>
        <w:spacing w:before="40" w:after="40"/>
        <w:ind w:left="283"/>
      </w:pPr>
      <w:r>
        <w:rPr>
          <w:rFonts w:ascii="Calibri" w:hAnsi="Calibri"/>
          <w:b/>
          <w:color w:val="4A6B25"/>
          <w:sz w:val="20"/>
        </w:rPr>
        <w:t xml:space="preserve">2. </w:t>
      </w:r>
      <w:r>
        <w:rPr>
          <w:rFonts w:ascii="Calibri" w:hAnsi="Calibri"/>
          <w:b w:val="0"/>
          <w:color w:val="3A4A28"/>
          <w:sz w:val="20"/>
        </w:rPr>
        <w:t>Williston Basin inventory concerns — mature basin with limited Tier 1 drilling locations relative to Permian peers, constraining long-term production growth</w:t>
      </w:r>
    </w:p>
    <w:p>
      <w:pPr>
        <w:spacing w:before="40" w:after="40"/>
        <w:ind w:left="283"/>
      </w:pPr>
      <w:r>
        <w:rPr>
          <w:rFonts w:ascii="Calibri" w:hAnsi="Calibri"/>
          <w:b/>
          <w:color w:val="4A6B25"/>
          <w:sz w:val="20"/>
        </w:rPr>
        <w:t xml:space="preserve">3. </w:t>
      </w:r>
      <w:r>
        <w:rPr>
          <w:rFonts w:ascii="Calibri" w:hAnsi="Calibri"/>
          <w:b w:val="0"/>
          <w:color w:val="3A4A28"/>
          <w:sz w:val="20"/>
        </w:rPr>
        <w:t>Trailing financial metrics distorted by impairment charges create uncertain forward visibility and may deter value-oriented investors despite low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Chord Energy operates in physical-world oil and gas extraction — drilling wells, pumping crude, and managing subsurface reservoirs in the Williston Basin [1]. AI cannot substitute for the physical infrastructure of E&amp;P operations. Analysts have not flagged AI as a disruption risk for upstream oil producers; rather, AI demand for data center power is expected to increase energy consumption and benefit oil/gas producers. The company's proprietary geological knowledge of the Williston Basin is irreplaceable by AI [2]. AI Opportunity (0/1): No meaningful AI-derived revenue. AI is used as an internal efficiency tool for drilling optimization rather than a revenue-generating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Chord Energy Q4/FY2025 Earnings Release — 2026 outlook, $2.3B EBITDA, 157-161 MBopd oil guidance, February 25, 2026</w:t>
      </w:r>
    </w:p>
    <w:p>
      <w:pPr>
        <w:spacing w:before="20" w:after="20"/>
        <w:ind w:left="170"/>
      </w:pPr>
      <w:r>
        <w:rPr>
          <w:rFonts w:ascii="Calibri" w:hAnsi="Calibri"/>
          <w:b/>
          <w:color w:val="4A6B25"/>
          <w:sz w:val="15"/>
        </w:rPr>
        <w:t xml:space="preserve">2. </w:t>
      </w:r>
      <w:r>
        <w:rPr>
          <w:rFonts w:ascii="Calibri" w:hAnsi="Calibri"/>
          <w:b w:val="0"/>
          <w:color w:val="3A4A28"/>
          <w:sz w:val="17"/>
        </w:rPr>
        <w:t>Chord Energy corporate website and CEO Danny Brown commentary — leadership, technology, extended laterals, workplace recognition,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Chord Energy 2024 Sustainability Report — ESG framework, community involvement, environmental stewardship, October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CHRD (Chord Energy),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