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CIEN</w:t>
      </w:r>
      <w:r>
        <w:rPr>
          <w:rFonts w:ascii="Calibri" w:hAnsi="Calibri"/>
          <w:b/>
          <w:color w:val="1A2010"/>
          <w:sz w:val="40"/>
        </w:rPr>
        <w:t xml:space="preserve">  Ciena Corporation</w:t>
      </w:r>
    </w:p>
    <w:p>
      <w:pPr>
        <w:spacing w:after="120"/>
      </w:pPr>
      <w:r>
        <w:rPr>
          <w:rFonts w:ascii="Calibri" w:hAnsi="Calibri"/>
          <w:b/>
          <w:color w:val="6E8450"/>
          <w:sz w:val="18"/>
        </w:rPr>
        <w:t>GROWTH SLEEVE · 2026-04-08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NYQ · United States</w:t>
      </w:r>
    </w:p>
    <w:p>
      <w:pPr>
        <w:spacing w:after="80"/>
      </w:pPr>
      <w:r>
        <w:rPr>
          <w:rFonts w:ascii="Calibri" w:hAnsi="Calibri"/>
          <w:b w:val="0"/>
          <w:color w:val="3A4A28"/>
          <w:sz w:val="20"/>
        </w:rPr>
        <w:t>Ciena Corporation is a global leader in optical and routing networking systems, services, and software. The company's WaveLogic coherent optical technology and Scaleacross architecture serve hyperscalers, cloud providers, and service providers, with record Q1 FY2026 revenue of $1.43B.</w:t>
      </w:r>
    </w:p>
    <w:p>
      <w:r>
        <w:rPr>
          <w:rFonts w:ascii="Calibri" w:hAnsi="Calibri"/>
          <w:b/>
          <w:color w:val="6E8450"/>
          <w:sz w:val="18"/>
        </w:rPr>
        <w:t>8,898 Employees · https://www.ciena.com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FY2025 revenue of $4.77B, with Q1 FY2026 surging 33% YoY to record $1.43B driven by AI networking demand [1]. Backlog expanded by $2B to $7B. AI Deployment (2/2): Scaleacross architecture adopted by 3 of 4 major hyperscalers with revenue recognition in 2026; DCOM solution co-developed with Meta deployed across multiple data centers [1]. Market Share (2/2): Category leader in coherent optical networking with dominant WaveLogic technology. Pipeline (1/2): FY2026 guidance of $5.70-6.10B (21-29% growth). R&amp;D Intensity (1/1): Heavy optical R&amp;D investment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Clear mission around transforming networks. Community Impact (1/2): 8,898 employees globally. Retention (1/2): Stable scientific/engineering workforce. Insider (1/2): Some alignment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Ciena shows mixed metrics. Revenue growth of 33.1% is exceptional but forward P/E of 54.26 is very expensive [1]. Profit margin of 4.5% is low despite revenue scale. D/E of 56.9% is moderate. ROE of 8.2% below target. Liquidity cleared at $1.55B daily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Ciena plays an infinite game through decades of optical networking innovation and patient investment in next-gen architectures that pay off when demand materializes.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(2 pts → 7/10): Transforming networks through optical innovation, validated by 25+ years of coherent optical leadership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(1 pt → 6/10): 8,898 employees with deep technical expertise [1].</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(1 pt → 10/10): Acknowledges Nokia, Infinera as driving optical innovation forward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(1 pt → 6/10): Pivoted from telecom to hyperscaler/AI focus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standout (0 pts → 2/10)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Ciena is the optical nerve center of the AI revolution — Q1 FY2026 record revenue of $1.43B (+33% YoY) with Scaleacross adopted by 3 of 4 hyperscalers and $7B backlog [1]. FY2026 guidance of $5.70-6.10B represents 21-29% growth. The AI data center buildout requires massive optical networking infrastructure that Ciena dominates [1].</w:t>
      </w:r>
    </w:p>
    <w:p>
      <w:pPr>
        <w:spacing w:after="120"/>
      </w:pPr>
      <w:r>
        <w:rPr>
          <w:rFonts w:ascii="Calibri" w:hAnsi="Calibri"/>
          <w:b w:val="0"/>
          <w:color w:val="3A4A28"/>
          <w:sz w:val="20"/>
        </w:rPr>
        <w:t>Forward P/E of 54.26 prices in exceptional growth. Profit margin of 4.5% is thin for a $63B market cap company [1]. Optical networking is cyclical and the current AI-driven super-cycle may moderate. Customer concentration in hyperscalers creates revenue vulnerability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Scaleacross revenue recognition from 3 hyperscalers beginning 2026 [1]</w:t>
      </w:r>
    </w:p>
    <w:p>
      <w:pPr>
        <w:spacing w:before="40" w:after="40"/>
        <w:ind w:left="283"/>
      </w:pPr>
      <w:r>
        <w:rPr>
          <w:rFonts w:ascii="Calibri" w:hAnsi="Calibri"/>
          <w:b/>
          <w:color w:val="4A6B25"/>
          <w:sz w:val="20"/>
        </w:rPr>
        <w:t xml:space="preserve">2. </w:t>
      </w:r>
      <w:r>
        <w:rPr>
          <w:rFonts w:ascii="Calibri" w:hAnsi="Calibri"/>
          <w:b w:val="0"/>
          <w:color w:val="3A4A28"/>
          <w:sz w:val="20"/>
        </w:rPr>
        <w:t>$7B backlog providing multi-year revenue visibility [1]</w:t>
      </w:r>
    </w:p>
    <w:p>
      <w:pPr>
        <w:spacing w:before="40" w:after="40"/>
        <w:ind w:left="283"/>
      </w:pPr>
      <w:r>
        <w:rPr>
          <w:rFonts w:ascii="Calibri" w:hAnsi="Calibri"/>
          <w:b/>
          <w:color w:val="4A6B25"/>
          <w:sz w:val="20"/>
        </w:rPr>
        <w:t xml:space="preserve">3. </w:t>
      </w:r>
      <w:r>
        <w:rPr>
          <w:rFonts w:ascii="Calibri" w:hAnsi="Calibri"/>
          <w:b w:val="0"/>
          <w:color w:val="3A4A28"/>
          <w:sz w:val="20"/>
        </w:rPr>
        <w:t>DCOM expansion with Meta across multiple new data centers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at 54x forward earnings assumes sustained hyper-growth [1]</w:t>
      </w:r>
    </w:p>
    <w:p>
      <w:pPr>
        <w:spacing w:before="40" w:after="40"/>
        <w:ind w:left="283"/>
      </w:pPr>
      <w:r>
        <w:rPr>
          <w:rFonts w:ascii="Calibri" w:hAnsi="Calibri"/>
          <w:b/>
          <w:color w:val="4A6B25"/>
          <w:sz w:val="20"/>
        </w:rPr>
        <w:t xml:space="preserve">2. </w:t>
      </w:r>
      <w:r>
        <w:rPr>
          <w:rFonts w:ascii="Calibri" w:hAnsi="Calibri"/>
          <w:b w:val="0"/>
          <w:color w:val="3A4A28"/>
          <w:sz w:val="20"/>
        </w:rPr>
        <w:t>Thin 4.5% profit margin limits earnings leverage [1]</w:t>
      </w:r>
    </w:p>
    <w:p>
      <w:pPr>
        <w:spacing w:before="40" w:after="40"/>
        <w:ind w:left="283"/>
      </w:pPr>
      <w:r>
        <w:rPr>
          <w:rFonts w:ascii="Calibri" w:hAnsi="Calibri"/>
          <w:b/>
          <w:color w:val="4A6B25"/>
          <w:sz w:val="20"/>
        </w:rPr>
        <w:t xml:space="preserve">3. </w:t>
      </w:r>
      <w:r>
        <w:rPr>
          <w:rFonts w:ascii="Calibri" w:hAnsi="Calibri"/>
          <w:b w:val="0"/>
          <w:color w:val="3A4A28"/>
          <w:sz w:val="20"/>
        </w:rPr>
        <w:t>Customer concentration in hyperscalers creates revenue dependency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Ciena IS AI infrastructure — every AI data center requires optical networking equipment, and Ciena's WaveLogic technology and Scaleacross architecture are adopted by 3 of 4 major hyperscalers [1]. AI cannot displace optical networking; it massively increases demand. $7B backlog provides extraordinary visibility. AI Opportunity (1/1): AI networking is the primary growth driver, with specific hyperscaler revenue from Scaleacross and DCOM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Ciena Q1 FY2026 Results — Record $1.43B revenue (+33%), $7B backlog, Scaleacross 3/4 hyperscalers</w:t>
      </w:r>
    </w:p>
    <w:p>
      <w:pPr>
        <w:spacing w:before="20" w:after="20"/>
        <w:ind w:left="170"/>
      </w:pPr>
      <w:r>
        <w:rPr>
          <w:rFonts w:ascii="Calibri" w:hAnsi="Calibri"/>
          <w:b/>
          <w:color w:val="4A6B25"/>
          <w:sz w:val="15"/>
        </w:rPr>
        <w:t xml:space="preserve">2. </w:t>
      </w:r>
      <w:r>
        <w:rPr>
          <w:rFonts w:ascii="Calibri" w:hAnsi="Calibri"/>
          <w:b w:val="0"/>
          <w:color w:val="3A4A28"/>
          <w:sz w:val="17"/>
        </w:rPr>
        <w:t>Ciena FY2026 Guidance — $5.70-6.10B revenue (21-29% growth), DCOM Meta expansion</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CIEN (Ciena),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