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CIFR</w:t>
      </w:r>
      <w:r>
        <w:rPr>
          <w:rFonts w:ascii="Calibri" w:hAnsi="Calibri"/>
          <w:b/>
          <w:color w:val="1A2010"/>
          <w:sz w:val="40"/>
        </w:rPr>
        <w:t xml:space="preserve">  Cipher Digital Inc.</w:t>
      </w:r>
    </w:p>
    <w:p>
      <w:pPr>
        <w:spacing w:after="120"/>
      </w:pPr>
      <w:r>
        <w:rPr>
          <w:rFonts w:ascii="Calibri" w:hAnsi="Calibri"/>
          <w:b/>
          <w:color w:val="6E8450"/>
          <w:sz w:val="18"/>
        </w:rPr>
        <w:t>GROWTH SLEEVE · 2026-05-12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Cipher Digital Inc. develops and operates industrial-scale data centers for bitcoin mining and high-performance compute (HPC) hosting in the United States. The company is pivoting from pure bitcoin mining to large-scale data center development for hyperscaler AI and HPC tenants, with contracted capacity across sites for Google, AWS, and FluidStack.</w:t>
      </w:r>
    </w:p>
    <w:p>
      <w:r>
        <w:rPr>
          <w:rFonts w:ascii="Calibri" w:hAnsi="Calibri"/>
          <w:b/>
          <w:color w:val="6E8450"/>
          <w:sz w:val="18"/>
        </w:rPr>
        <w:t>66 Employees · https://www.cipherdigital.com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Cipher has executed a transformative business model pivot from pure bitcoin miner to large-scale HPC data center developer — exiting non-core mining assets and divesting JV stakes to focus on hyperscaler infrastructure (3 pts track record) [1][2]. The company's data centers are engineered specifically for AI workloads, and it has secured contracts with Google and AWS for HPC hosting, directly enabling AI compute at scale (1 pt AI deployment) [2]. With 907 MW of operating and contracted capacity and $11.4B in contracted revenue across 10-15 year base lease terms, Cipher is establishing meaningful market position in the AI data center build-out (1 pt market share) [1]. Specific pipeline visibility: 2 data centers under construction, a third preparing for mobilization, with named hyperscaler tenants (1 pt pipeline) [1]. R&amp;D intensity is modest given infrastructure-focused business model (1 pt)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Cipher's mission is 'developing and operating industrial-scale data centers engineered for next-generation compute at the highest standards of innovation, precision, and excellence' — clear and specific but focused on operational excellence rather than a transformative vision of a better future (2 pts mission floor) [2]. The company has positioned sustainability as a core brand pillar, leveraging renewable energy sources (wind and solar in Texas and Pacific Northwest) to power data centers, appealing to ESG-conscious institutional investors (1 pt community impact) [3]. No evidence of notable employee retention metrics or insider buying activity in the last 12 months (0 pts each). With only 66 employees, retention data is inherently limited (1 pt for compact team with industry veteran hires including Lee Bratcher and Drew Armstrong)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Current financials reflect the capital-intensive transition phase: D/E of 641.6% is extreme due to heavy borrowing for data center construction, ROE is deeply negative at -121.7%, revenue declined -28.8% YoY as bitcoin mining wound down before HPC revenue ramps, and profit margin sits at 0% [4]. Q1 2026 revenue was $35M with a net loss of $114.3M as construction costs heavily outpace current revenue [1]. The forward P/E of 43.1 reflects market expectations of the HPC pivot but offers little valuation cushion. The $11.4B contracted revenue pipeline over 10-15 years is the bull case, but current financial metrics are deeply distressed. Liquidity floor passes at $532.6M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Cipher demonstrates existential flexibility through its transformative pivot from bitcoin mining to HPC data center development, but the company is too young and the pivot too recent to have proven long-term infinite game characteristics. The Just Cause is operational rather than aspirational.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Cipher's purpose centers on operational excellence in data center development rather than a vision of a better future. The company exists to build and operate infrastructure for hyperscalers — a valuable service but not a Just Cause that inspires sacrifice or invites others to contribute to something larger [2]. The mission is about what the company does, not why it matters.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66 employees, Cipher operates as a lean organization relying on industry veterans. Recent hires of Lee Bratcher (policy/ERCOT) and Drew Armstrong (strategic projects) suggest targeted expertise recruitment [2]. However, no evidence of exceptional trust, long tenure, or cultural distinctiveness at this stage. The small team size limits cultural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Cipher competes with other bitcoin-miners-turned-data-center-operators (MARA, HUT, RIOT) and established data center REITs (Equinix, Digital Realty). Management positions the company based on power access, construction speed, and hyperscaler relationships rather than competitor destruction, reflecting pragmatic competition in a supply-constrained market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pure bitcoin miner to HPC data center developer for AI hyperscalers is one of the most dramatic strategic pivots in the crypto-infrastructure space — exiting mining assets, divesting JV stakes, and rebranding from Cipher Mining to Cipher Digital in February 2026 [1][2]. This pivot was driven by recognizing that AI data center demand would generate more value than bitcoin mining, and management executed it decisively with $11.4B in contracted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exit profitable bitcoin mining operations and bet entirely on HPC data center development required courage, particularly given the capital-intensive nature of the transition and the $114.3M net loss in Q1 2026 [1]. Management is absorbing significant near-term losses to build long-term infrastructure value. However, this also reflects following market signals rather than leading against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Cipher Digital has executed a bold pivot from bitcoin mining to AI/HPC data center infrastructure, securing $11.4B in contracted revenue across 10-15 year leases with Google, AWS, and FluidStack. With 907 MW of capacity and two data centers under construction, the company is positioned at the center of the AI infrastructure build-out [1][2].</w:t>
      </w:r>
    </w:p>
    <w:p>
      <w:pPr>
        <w:spacing w:after="120"/>
      </w:pPr>
      <w:r>
        <w:rPr>
          <w:rFonts w:ascii="Calibri" w:hAnsi="Calibri"/>
          <w:b w:val="0"/>
          <w:color w:val="3A4A28"/>
          <w:sz w:val="20"/>
        </w:rPr>
        <w:t>The investment thesis is compelling on a 3-5 year horizon but carries significant near-term execution risk. Current financials are deeply distressed (D/E 641.6%, -$114.3M quarterly loss) as construction spending far outpaces revenue during the transition phase. The market is pricing in successful execution at $8.3B market cap, creating asymmetric downside risk if hyperscaler contracts face delays, construction costs escalate, or power availability constraints emerge. This is a high-conviction infrastructure play that requires patience and tolerance for near-term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$11.4B contracted revenue pipeline across 10-15 year hyperscaler leases provides exceptional revenue visibility as data centers come online [1]</w:t>
      </w:r>
    </w:p>
    <w:p>
      <w:pPr>
        <w:spacing w:before="40" w:after="40"/>
        <w:ind w:left="283"/>
      </w:pPr>
      <w:r>
        <w:rPr>
          <w:rFonts w:ascii="Calibri" w:hAnsi="Calibri"/>
          <w:b/>
          <w:color w:val="4A6B25"/>
          <w:sz w:val="20"/>
        </w:rPr>
        <w:t xml:space="preserve">2. </w:t>
      </w:r>
      <w:r>
        <w:rPr>
          <w:rFonts w:ascii="Calibri" w:hAnsi="Calibri"/>
          <w:b w:val="0"/>
          <w:color w:val="3A4A28"/>
          <w:sz w:val="20"/>
        </w:rPr>
        <w:t>Two data centers under construction with a third preparing for mobilization will drive significant revenue inflection as capacity delivers in 2026-2027 [1]</w:t>
      </w:r>
    </w:p>
    <w:p>
      <w:pPr>
        <w:spacing w:before="40" w:after="40"/>
        <w:ind w:left="283"/>
      </w:pPr>
      <w:r>
        <w:rPr>
          <w:rFonts w:ascii="Calibri" w:hAnsi="Calibri"/>
          <w:b/>
          <w:color w:val="4A6B25"/>
          <w:sz w:val="20"/>
        </w:rPr>
        <w:t xml:space="preserve">3. </w:t>
      </w:r>
      <w:r>
        <w:rPr>
          <w:rFonts w:ascii="Calibri" w:hAnsi="Calibri"/>
          <w:b w:val="0"/>
          <w:color w:val="3A4A28"/>
          <w:sz w:val="20"/>
        </w:rPr>
        <w:t>AI compute demand continues to accelerate, with hyperscalers facing power and data center capacity constraints that benefit developers with permitted and powered sites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(D/E 641.6%) and $114.3M quarterly losses create liquidity risk if construction timelines slip or financing markets tighten [4]</w:t>
      </w:r>
    </w:p>
    <w:p>
      <w:pPr>
        <w:spacing w:before="40" w:after="40"/>
        <w:ind w:left="283"/>
      </w:pPr>
      <w:r>
        <w:rPr>
          <w:rFonts w:ascii="Calibri" w:hAnsi="Calibri"/>
          <w:b/>
          <w:color w:val="4A6B25"/>
          <w:sz w:val="20"/>
        </w:rPr>
        <w:t xml:space="preserve">2. </w:t>
      </w:r>
      <w:r>
        <w:rPr>
          <w:rFonts w:ascii="Calibri" w:hAnsi="Calibri"/>
          <w:b w:val="0"/>
          <w:color w:val="3A4A28"/>
          <w:sz w:val="20"/>
        </w:rPr>
        <w:t>Concentration risk — revenue depends on successful delivery of a small number of large hyperscaler contracts; any single contract issue could materially impact the business [1]</w:t>
      </w:r>
    </w:p>
    <w:p>
      <w:pPr>
        <w:spacing w:before="40" w:after="40"/>
        <w:ind w:left="283"/>
      </w:pPr>
      <w:r>
        <w:rPr>
          <w:rFonts w:ascii="Calibri" w:hAnsi="Calibri"/>
          <w:b/>
          <w:color w:val="4A6B25"/>
          <w:sz w:val="20"/>
        </w:rPr>
        <w:t xml:space="preserve">3. </w:t>
      </w:r>
      <w:r>
        <w:rPr>
          <w:rFonts w:ascii="Calibri" w:hAnsi="Calibri"/>
          <w:b w:val="0"/>
          <w:color w:val="3A4A28"/>
          <w:sz w:val="20"/>
        </w:rPr>
        <w:t>Power availability and regulatory constraints on energy-intensive data centers could limit expansion in key markets like Texas (ERCOT)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Cipher Digital is building the physical infrastructure that AI depends on — industrial-scale data centers engineered for GPU-intensive HPC workloads, contracted by Google, AWS, and FluidStack (8 pts risk protection) [1][2]. You cannot be disrupted by AI when you are the power and cooling infrastructure that AI requires to run. AI growth directly increases demand for Cipher's data center capacity. The company has 907 MW of operating and contracted capacity with $11.4B in contracted revenue, making it a direct beneficiary of the AI infrastructure build-out. Cipher generates AI-related revenue through its hyperscaler HPC hosting contracts, which represent the majority of its forward revenue pipeline (1 pt AI opportunity — but already captured in risk protection score, so 0 additional to avoid double-counting) [1]. Net score reflects IMMUNE positioning as essential AI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Cipher Digital Q1 2026 Earnings Release and Transcript, Motley Fool/Insider Monkey, May 2026</w:t>
      </w:r>
    </w:p>
    <w:p>
      <w:pPr>
        <w:spacing w:before="20" w:after="20"/>
        <w:ind w:left="170"/>
      </w:pPr>
      <w:r>
        <w:rPr>
          <w:rFonts w:ascii="Calibri" w:hAnsi="Calibri"/>
          <w:b/>
          <w:color w:val="4A6B25"/>
          <w:sz w:val="15"/>
        </w:rPr>
        <w:t xml:space="preserve">2. </w:t>
      </w:r>
      <w:r>
        <w:rPr>
          <w:rFonts w:ascii="Calibri" w:hAnsi="Calibri"/>
          <w:b w:val="0"/>
          <w:color w:val="3A4A28"/>
          <w:sz w:val="17"/>
        </w:rPr>
        <w:t>Cipher Digital Company Profile, Leadership, and HPC Strategy, Company Website, 2026</w:t>
      </w:r>
    </w:p>
    <w:p>
      <w:pPr>
        <w:spacing w:before="20" w:after="20"/>
        <w:ind w:left="170"/>
      </w:pPr>
      <w:r>
        <w:rPr>
          <w:rFonts w:ascii="Calibri" w:hAnsi="Calibri"/>
          <w:b/>
          <w:color w:val="4A6B25"/>
          <w:sz w:val="15"/>
        </w:rPr>
        <w:t xml:space="preserve">3. </w:t>
      </w:r>
      <w:r>
        <w:rPr>
          <w:rFonts w:ascii="Calibri" w:hAnsi="Calibri"/>
          <w:b w:val="0"/>
          <w:color w:val="3A4A28"/>
          <w:sz w:val="17"/>
        </w:rPr>
        <w:t>Cipher Mining ESG and Sustainability Practices, US News/Sustainalytics,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CIFR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