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CIG</w:t>
      </w:r>
      <w:r>
        <w:rPr>
          <w:rFonts w:ascii="Calibri" w:hAnsi="Calibri"/>
          <w:b/>
          <w:color w:val="1A2010"/>
          <w:sz w:val="40"/>
        </w:rPr>
        <w:t xml:space="preserve">  Companhia Energética de Minas Gerais - CEMIG</w:t>
      </w:r>
    </w:p>
    <w:p>
      <w:pPr>
        <w:spacing w:after="120"/>
      </w:pPr>
      <w:r>
        <w:rPr>
          <w:rFonts w:ascii="Calibri" w:hAnsi="Calibri"/>
          <w:b/>
          <w:color w:val="6E8450"/>
          <w:sz w:val="18"/>
        </w:rPr>
        <w:t>DIVIDEND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Brazil</w:t>
      </w:r>
    </w:p>
    <w:p>
      <w:pPr>
        <w:spacing w:after="80"/>
      </w:pPr>
      <w:r>
        <w:rPr>
          <w:rFonts w:ascii="Calibri" w:hAnsi="Calibri"/>
          <w:b w:val="0"/>
          <w:color w:val="3A4A28"/>
          <w:sz w:val="20"/>
        </w:rPr>
        <w:t>CEMIG is a Brazilian state-controlled utility operating 36 hydro plants (4,449 MW), 2 wind farms (71 MW), and 10 solar stations (159 MW), with 357,044 miles of distribution lines serving 6.2 million customers in Minas Gerais, Brazil. The company generates, transmits, distributes, and sells electric energy.</w:t>
      </w:r>
    </w:p>
    <w:p>
      <w:r>
        <w:rPr>
          <w:rFonts w:ascii="Calibri" w:hAnsi="Calibri"/>
          <w:b/>
          <w:color w:val="6E8450"/>
          <w:sz w:val="18"/>
        </w:rPr>
        <w:t>5,320 Employees · https://www.cemig.com.br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CEMIG has incrementally expanded into renewables with 10 photovoltaic stations (159 MW capacity) and 2 wind farms (71 MW) over the past five years, but these represent modest additions relative to its 4,449 MW hydro base [1]. No transformative pivots or new business models. AI Deployment (0/2): No evidence of AI-powered products or quantified AI-driven operational savings; CEMIG's board references general 'awareness of market changes' but no specific AI deployments [2]. Market Share (1/2): CEMIG is the dominant electricity distributor in Minas Gerais state, serving 6.2 million customers, and has been on the Dow Jones Sustainability Index for eleven years — a meaningful but geographically concentrated position [3]. Pipeline (1/2): Investments in biomass, small hydro, solar, and wind generation are underway, plus distributed generation projects using hydrogen and biodiesel, though specific timelines and revenue projections are vague [1]. R&amp;D Intensity (1/1): CEMIG invests in renewable energy R&amp;D and energy efficiency programs at levels consistent with Brazilian utility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CEMIG states its mission as 'sustainable development meaning the search for a better quality of life for the current generation and future generations' encompassing ethics, transparency, and social responsibility — clear but not distinctive among global utilities [3]. Community Impact (2/2): CEMIG maintains a Social Responsibility Committee, uses London Benchmark Group and SA 8000 methodologies for social projects, and runs multiple community programs across Minas Gerais with measurable impact parameters [3]. Employee Retention (1/2): 86% of employees would recommend CEMIG to a friend on Glassdoor (732 reviews), 75% rate interviews positively, and 60% see positive business outlook — above average for Brazilian utilities [2]. Insider Buying (1/2): As a state-controlled entity, insider transactions are limited, but institutional ownership remains stable with no significant selling activity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 trades at an attractive valuation with a forward P/E of 15.5x and trailing P/E of 7.1x, reflecting the discount applied to Brazilian state-controlled utilities [1]. D/E of 69.6% is well-managed at the target threshold, and ROE of 17.5% exceeds the 15% target [1]. Revenue growth of 2.9% YoY and ~8% 5yr CAGR reflect the steady but unspectacular nature of a regulated utility. Profit margin of 11.5% is modest, constrained by Brazil's regulatory framework. The 93.2% payout ratio is elevated and poorly covered, though CEMIG has a long history of consistent dividend payments (~10 consecutive years) [1]. Liquidity floor easily cleared at $13.5M daily (5.8M shares × $2.33)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CEMIG operates as an infinite game player by default — a state-controlled utility with a 70+ year history of providing essential electricity infrastructure to Minas Gerais. Its mission around sustainable development for current and future generations aligns with Sinek's Just Cause framework, but the state-ownership structure limits strategic flexibility and courageous leadership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CEMIG's purpose of 'sustainable development for current and future generations' through clean energy (predominantly hydroelectric) has been consistently lived out over decades [3]. The company has been on the Dow Jones Sustainability Index since its creation in 1999, demonstrating long-term commitment. As essential infrastructure serving 6.2 million customers, the Just Cause is inherently service-oriented and enduring, though state control constrains the boldness of the vision.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CEMIG's 86% employee recommendation rate on Glassdoor and collaborative work culture suggest adequate organizational trust [2]. The company invests in employee well-being and values its workforce. However, as a state-controlled entity, political dynamics and government transitions can create leadership instability that undermines psychological safety at the executive level.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 acknowledges competitive dynamics with private utilities in Brazil's deregulated generation market and uses the pressure from renewable energy competitors to expand its own solar and wind portfolio [3]. Board members reference the need to 'generate innovation and be aware of market changes,' reflecting an improvement-oriented competitive mindset rather than a destructive one [2].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 has gradually evolved from a pure hydroelectric utility to encompass solar (159 MW), wind (71 MW), and biomass generation, plus distributed generation projects using hydrogen and biodiesel [1]. These are incremental adaptations rather than transformative pivots, constrained by the regulatory framework and state ownership structure that limit radical strategic shifts.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CEMIG has demonstrated some courage by investing in renewable energy diversification and sustainability initiatives despite the comfortable monopoly position in distribution [3]. The eleven consecutive years on the Dow Jones Sustainability Index reflect intentional investment in sustainability that goes beyond compliance. However, state control means leadership decisions are often politically influenced rather than cause-driven.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CEMIG offers a compelling value proposition as a Brazilian utility trading at 7.1x trailing earnings with a 10.7% dividend yield, backed by essential electricity infrastructure serving 6.2 million customers in Minas Gerais [1]. The company's D/E ratio of 69.6% is well-managed, ROE of 17.5% exceeds cost of capital, and its dominant position in state-regulated distribution provides defensive characteristics. Revenue grew 8% in 2024 and the company has diversified into solar (159 MW) and wind (71 MW) generation to complement its 4,449 MW hydro base [1]. The eleven-year presence on the Dow Jones Sustainability Index validates ESG credibility for a utility with predominantly clean energy generation [3]. AI-driven electricity demand growth provides a secular tailwind for power generators and distributors.</w:t>
      </w:r>
    </w:p>
    <w:p>
      <w:pPr>
        <w:spacing w:after="120"/>
      </w:pPr>
      <w:r>
        <w:rPr>
          <w:rFonts w:ascii="Calibri" w:hAnsi="Calibri"/>
          <w:b w:val="0"/>
          <w:color w:val="3A4A28"/>
          <w:sz w:val="20"/>
        </w:rPr>
        <w:t>The bear case centers on Brazil country risk and structural limitations. Analysts forecast a 5.7% average annual earnings decline over the next three years, which would pressure the unsustainable 93.2% payout ratio [1]. State ownership by Minas Gerais introduces political interference risk in management decisions, pricing, and capital allocation. The company generated negative free cash flow, meaning the dividend is funded by debt or asset sales rather than operations — a red flag for income sustainability [1]. Brazil's regulatory environment creates tariff uncertainty, and currency risk (BRL/USD) adds volatility for ADR holders. Revenue growth of just 2.9% YoY reflects limited pricing power within the regulated framework. The low stock price ($2.33) and ADR structure add liquidity and structural risks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Renewable energy expansion into solar, wind, and biomass generation diversifying beyond hydroelectric dependence and positioning for Brazil's energy transition [1]</w:t>
      </w:r>
    </w:p>
    <w:p>
      <w:pPr>
        <w:spacing w:before="40" w:after="40"/>
        <w:ind w:left="283"/>
      </w:pPr>
      <w:r>
        <w:rPr>
          <w:rFonts w:ascii="Calibri" w:hAnsi="Calibri"/>
          <w:b/>
          <w:color w:val="4A6B25"/>
          <w:sz w:val="20"/>
        </w:rPr>
        <w:t xml:space="preserve">2. </w:t>
      </w:r>
      <w:r>
        <w:rPr>
          <w:rFonts w:ascii="Calibri" w:hAnsi="Calibri"/>
          <w:b w:val="0"/>
          <w:color w:val="3A4A28"/>
          <w:sz w:val="20"/>
        </w:rPr>
        <w:t>AI-driven global electricity demand growth providing secular tailwinds for power generators and distributors serving industrial customers [3]</w:t>
      </w:r>
    </w:p>
    <w:p>
      <w:pPr>
        <w:spacing w:before="40" w:after="40"/>
        <w:ind w:left="283"/>
      </w:pPr>
      <w:r>
        <w:rPr>
          <w:rFonts w:ascii="Calibri" w:hAnsi="Calibri"/>
          <w:b/>
          <w:color w:val="4A6B25"/>
          <w:sz w:val="20"/>
        </w:rPr>
        <w:t xml:space="preserve">3. </w:t>
      </w:r>
      <w:r>
        <w:rPr>
          <w:rFonts w:ascii="Calibri" w:hAnsi="Calibri"/>
          <w:b w:val="0"/>
          <w:color w:val="3A4A28"/>
          <w:sz w:val="20"/>
        </w:rPr>
        <w:t>Potential privatization or governance reform at CEMIG could unlock value by reducing political interference and improving capital allocation discipline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free cash flow threatens dividend sustainability — the 93.2% payout ratio is unsustainable without operational cash flow improvement, and analysts forecast 5.7% annual earnings decline [1]</w:t>
      </w:r>
    </w:p>
    <w:p>
      <w:pPr>
        <w:spacing w:before="40" w:after="40"/>
        <w:ind w:left="283"/>
      </w:pPr>
      <w:r>
        <w:rPr>
          <w:rFonts w:ascii="Calibri" w:hAnsi="Calibri"/>
          <w:b/>
          <w:color w:val="4A6B25"/>
          <w:sz w:val="20"/>
        </w:rPr>
        <w:t xml:space="preserve">2. </w:t>
      </w:r>
      <w:r>
        <w:rPr>
          <w:rFonts w:ascii="Calibri" w:hAnsi="Calibri"/>
          <w:b w:val="0"/>
          <w:color w:val="3A4A28"/>
          <w:sz w:val="20"/>
        </w:rPr>
        <w:t>State ownership by Minas Gerais government introduces political risk, management instability during election cycles, and potential for value-destructive policy mandates [2]</w:t>
      </w:r>
    </w:p>
    <w:p>
      <w:pPr>
        <w:spacing w:before="40" w:after="40"/>
        <w:ind w:left="283"/>
      </w:pPr>
      <w:r>
        <w:rPr>
          <w:rFonts w:ascii="Calibri" w:hAnsi="Calibri"/>
          <w:b/>
          <w:color w:val="4A6B25"/>
          <w:sz w:val="20"/>
        </w:rPr>
        <w:t xml:space="preserve">3. </w:t>
      </w:r>
      <w:r>
        <w:rPr>
          <w:rFonts w:ascii="Calibri" w:hAnsi="Calibri"/>
          <w:b w:val="0"/>
          <w:color w:val="3A4A28"/>
          <w:sz w:val="20"/>
        </w:rPr>
        <w:t>Brazil macroeconomic risk — currency volatility, inflation, interest rate uncertainty, and regulatory changes in the electricity sector could compress ADR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CEMIG's core business — hydroelectric generation, electricity transmission and distribution, and retail power delivery — involves massive physical infrastructure (36 hydro plants, 357,044 miles of distribution lines) that AI cannot replace [1]. Electricity distribution is a state-regulated natural monopoly in Minas Gerais; no AI system can substitute for physical grid infrastructure. As AI data center buildout accelerates globally, electricity demand increases, making power generators and distributors net beneficiaries of the AI revolution rather than victims. AI Opportunity (0/1): CEMIG does not generate revenue from AI products or services; no AI-specific revenue streams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CIG (CEMIG), retrieved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CEMIG employee reviews and ratings — 732 reviews, 86% recommend</w:t>
      </w:r>
    </w:p>
    <w:p>
      <w:pPr>
        <w:spacing w:before="20" w:after="20"/>
        <w:ind w:left="170"/>
      </w:pPr>
      <w:r>
        <w:rPr>
          <w:rFonts w:ascii="Calibri" w:hAnsi="Calibri"/>
          <w:b/>
          <w:color w:val="4A6B25"/>
          <w:sz w:val="15"/>
        </w:rPr>
        <w:t xml:space="preserve">3. </w:t>
      </w:r>
      <w:r>
        <w:rPr>
          <w:rFonts w:ascii="Calibri" w:hAnsi="Calibri"/>
          <w:b w:val="0"/>
          <w:color w:val="3A4A28"/>
          <w:sz w:val="17"/>
        </w:rPr>
        <w:t>CEMIG Climate Action profile and Dow Jones Sustainability Index history</w:t>
      </w:r>
    </w:p>
    <w:p>
      <w:pPr>
        <w:spacing w:before="20" w:after="20"/>
        <w:ind w:left="170"/>
      </w:pPr>
      <w:r>
        <w:rPr>
          <w:rFonts w:ascii="Calibri" w:hAnsi="Calibri"/>
          <w:b/>
          <w:color w:val="4A6B25"/>
          <w:sz w:val="15"/>
        </w:rPr>
        <w:t xml:space="preserve">4. </w:t>
      </w:r>
      <w:r>
        <w:rPr>
          <w:rFonts w:ascii="Calibri" w:hAnsi="Calibri"/>
          <w:b w:val="0"/>
          <w:color w:val="3A4A28"/>
          <w:sz w:val="17"/>
        </w:rPr>
        <w:t>Seeking Alpha — CEMIG 2025 Q4 earnings call presentation, March 24,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Stock Analysis — CIG revenue history, dividend, and valuation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