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CISS</w:t>
      </w:r>
      <w:r>
        <w:rPr>
          <w:rFonts w:ascii="Calibri" w:hAnsi="Calibri"/>
          <w:b/>
          <w:color w:val="1A2010"/>
          <w:sz w:val="40"/>
        </w:rPr>
        <w:t xml:space="preserve">  C3is Inc.</w:t>
      </w:r>
    </w:p>
    <w:p>
      <w:pPr>
        <w:spacing w:after="120"/>
      </w:pPr>
      <w:r>
        <w:rPr>
          <w:rFonts w:ascii="Calibri" w:hAnsi="Calibri"/>
          <w:b/>
          <w:color w:val="6E8450"/>
          <w:sz w:val="18"/>
        </w:rPr>
        <w:t>GROWTH SLEEVE · 2026-04-07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NASDAQ · Greece</w:t>
      </w:r>
    </w:p>
    <w:p>
      <w:pPr>
        <w:spacing w:after="80"/>
      </w:pPr>
      <w:r>
        <w:rPr>
          <w:rFonts w:ascii="Calibri" w:hAnsi="Calibri"/>
          <w:b w:val="0"/>
          <w:color w:val="3A4A28"/>
          <w:sz w:val="20"/>
        </w:rPr>
        <w:t>C3is Inc. provides international seaborne transportation services, owning and operating drybulk carriers and tankers that transport iron ore, coal, grains, and crude oil. Founded in 2021 and headquartered in Athens, Greece, the company is expanding its fleet with MR product tanker acquisitions to reach six vessels by mid-2026.</w:t>
      </w:r>
    </w:p>
    <w:p>
      <w:r>
        <w:rPr>
          <w:rFonts w:ascii="Calibri" w:hAnsi="Calibri"/>
          <w:b/>
          <w:color w:val="6E8450"/>
          <w:sz w:val="18"/>
        </w:rPr>
        <w:t>https://c3is.pro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C3is has grown from a single-vessel spinoff in 2022 to a four-vessel fleet by end of 2025, with two additional MR product tanker acquisitions announced in January 2026 that will expand fleet capacity by 387% from inception [1][2]. This represents meaningful business expansion but not transformative innovation. AI Deployment (0/2): No evidence of AI deployment in operations; the company runs a traditional Greek shipping operation with manual fleet management [3]. Market Share (0/2): C3is is a micro-cap ($2.2M market cap) operating four vessels in a highly fragmented global shipping market with thousands of competitors — no meaningful share position [1]. Pipeline (1/2): Two MR product tankers on order for Q1-Q3 2026 delivery, shifting the fleet toward the lucrative tanker sector; specific vessels and timelines identified [2]. R&amp;D Intensity (1/1): Not applicable — shipping companies do not have traditional R&amp;D, but C3is has invested aggressively in fleet expansion with $59.2M in CapEx funded entirely without bank debt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C3is has no articulated mission, purpose, or vision statement on its website beyond generic corporate language about providing seaborne transportation services [3]. The company exists purely as a vessel-owning entity. Community Impact (0/2): No evidence of charitable programs, community investment, or philanthropic activity; the company has no disclosed employee count and operates as a lean Greek shipping entity [3]. Employee Retention (0/2): No employee data available; the company is managed by Stealth Maritime Corporation SA, making direct employee metrics inaccessible [3]. Insider Buying (1/2): CEO Dr. Diamantis Andriotis has been with the company since inception in 2022 and the company repaid all $59.2M in CapEx without bank loans, demonstrating financial discipline, though no direct insider buying data is available [1][3].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C3is has an exceptionally clean balance sheet with D/E of just 2.6% — the company repaid all $59.2M in CapEx obligations without bank debt [1]. Profit margin of 16.1% and ROE of 7.2% are solid for a micro-cap shipper. Revenue grew 47% YoY from $28.7M (2023) to $42.3M (2024), though full-year 2025 voyage revenues declined 18% due to drydocking and idle days on the Aframax tanker [1]. Net income surged 481% in 2025 to $10.5M with EBITDA of $17M (up 244%) [1]. The stock trades at a P/B of 0.0005x due to massive reverse splits distorting per-share metrics; market cap is only $2.2M against book value estimated at over $4B in aggregate (per-share book of $1,509). No forward P/E or PEG available. Liquidity floor: 3.85M avg vol × $0.82 = $3.16M — passes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C3is is a young company (founded 2021) focused on near-term fleet expansion and financial returns rather than articulating a long-term purpose. The company operates as a financial vehicle for vessel ownership, managed externally by Stealth Maritime Corporation, with no visible Just Cause, cultural identity, or long-term vision beyond growing the fleet and generating charter revenue.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C3is has no articulated Just Cause or purpose beyond owning and operating vessels for charter revenue [3]. The company's website and public materials focus entirely on fleet composition and financial metrics. There is no vision of a better future or deeper purpose — this is a purely financial enterprise playing a finite game of asset accumulation.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employee data is available as C3is is managed externally by Stealth Maritime Corporation SA [3]. The lack of disclosed employees, culture, or organizational identity makes it impossible to assess trust. CEO Dr. Andriotis has dual roles at Stealth Maritime and StealthGas, raising questions about management focus and potential conflicts of interest.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competitive awareness or learning from rivals in C3is's public communications [3]. The company operates in a commodity shipping market where competition is purely on rates and vessel availability, with no differentiation strategy or acknowledgment of worthy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C3is has shown some strategic flexibility by pivoting from dry bulk to include tanker operations, acquiring an Aframax crude oil tanker in 2023 and two MR product tankers in 2026 [2]. This shift toward the lucrative tanker sector demonstrates willingness to evolve the fleet composition based on market conditions, though it's driven by opportunism rather than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fund $59.2M in fleet acquisitions entirely without bank debt shows financial discipline [1]. However, there is no evidence of courageous leadership decisions that sacrifice short-term results for long-term capability. The company optimizes for near-term charter rates and asset values rather than building enduring competitive advantages.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C3is offers an unusually clean balance sheet for a shipping company — D/E of just 2.6% with zero bank debt after repaying $59.2M in CapEx obligations entirely from operating cash flow [1]. Net income surged 481% in 2025 to $10.5M, and the company is aggressively expanding its fleet with two MR product tanker acquisitions expected Q1-Q3 2026, growing capacity by 387% from inception [2]. The stock trades at an extreme discount to book value (P/B of 0.0005x), and daily TCE rates of $19,469 in Q4 2025 demonstrate the fleet's earning power in a favorable tanker market [1].</w:t>
      </w:r>
    </w:p>
    <w:p>
      <w:pPr>
        <w:spacing w:after="120"/>
      </w:pPr>
      <w:r>
        <w:rPr>
          <w:rFonts w:ascii="Calibri" w:hAnsi="Calibri"/>
          <w:b w:val="0"/>
          <w:color w:val="3A4A28"/>
          <w:sz w:val="20"/>
        </w:rPr>
        <w:t>The bear case is dominated by micro-cap risk and structural concerns. Market cap of just $2.2M makes this effectively a nano-cap with severe liquidity risk despite technically passing the $1M liquidity floor [4]. Repeated reverse stock splits (the stock trades at $0.82) signal chronic dilution and value destruction for shareholders. The company is managed externally by Stealth Maritime Corporation, creating potential conflicts of interest and limited governance oversight [3]. Revenue is highly cyclical and dependent on volatile charter rates — full-year 2025 voyage revenues declined 18% due to drydocking and idle days [1]. Greek shipping micro-caps have a poor track record of rewarding minority shareholders, and the extreme P/B discount may reflect rational skepticism about governance and capital allocation rather than a valuation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Two MR product tanker deliveries in Q1-Q3 2026 expanding fleet capacity by 387% from inception, with tanker sector rates remaining elevated [2]</w:t>
      </w:r>
    </w:p>
    <w:p>
      <w:pPr>
        <w:spacing w:before="40" w:after="40"/>
        <w:ind w:left="283"/>
      </w:pPr>
      <w:r>
        <w:rPr>
          <w:rFonts w:ascii="Calibri" w:hAnsi="Calibri"/>
          <w:b/>
          <w:color w:val="4A6B25"/>
          <w:sz w:val="20"/>
        </w:rPr>
        <w:t xml:space="preserve">2. </w:t>
      </w:r>
      <w:r>
        <w:rPr>
          <w:rFonts w:ascii="Calibri" w:hAnsi="Calibri"/>
          <w:b w:val="0"/>
          <w:color w:val="3A4A28"/>
          <w:sz w:val="20"/>
        </w:rPr>
        <w:t>Debt-free balance sheet providing flexibility for additional acquisitions without dilution as fleet-expansion strategy continues [1]</w:t>
      </w:r>
    </w:p>
    <w:p>
      <w:pPr>
        <w:spacing w:before="40" w:after="40"/>
        <w:ind w:left="283"/>
      </w:pPr>
      <w:r>
        <w:rPr>
          <w:rFonts w:ascii="Calibri" w:hAnsi="Calibri"/>
          <w:b/>
          <w:color w:val="4A6B25"/>
          <w:sz w:val="20"/>
        </w:rPr>
        <w:t xml:space="preserve">3. </w:t>
      </w:r>
      <w:r>
        <w:rPr>
          <w:rFonts w:ascii="Calibri" w:hAnsi="Calibri"/>
          <w:b w:val="0"/>
          <w:color w:val="3A4A28"/>
          <w:sz w:val="20"/>
        </w:rPr>
        <w:t>Rising tanker day rates driven by Middle East crude oil flows and aging global tanker fleet creating favorable supply-demand dynamics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Nano-cap market cap of $2.2M with extreme reverse split history signals chronic shareholder dilution and governance risk [4]</w:t>
      </w:r>
    </w:p>
    <w:p>
      <w:pPr>
        <w:spacing w:before="40" w:after="40"/>
        <w:ind w:left="283"/>
      </w:pPr>
      <w:r>
        <w:rPr>
          <w:rFonts w:ascii="Calibri" w:hAnsi="Calibri"/>
          <w:b/>
          <w:color w:val="4A6B25"/>
          <w:sz w:val="20"/>
        </w:rPr>
        <w:t xml:space="preserve">2. </w:t>
      </w:r>
      <w:r>
        <w:rPr>
          <w:rFonts w:ascii="Calibri" w:hAnsi="Calibri"/>
          <w:b w:val="0"/>
          <w:color w:val="3A4A28"/>
          <w:sz w:val="20"/>
        </w:rPr>
        <w:t>External management by Stealth Maritime Corporation creates potential conflicts of interest and limited transparency for minority shareholders [3]</w:t>
      </w:r>
    </w:p>
    <w:p>
      <w:pPr>
        <w:spacing w:before="40" w:after="40"/>
        <w:ind w:left="283"/>
      </w:pPr>
      <w:r>
        <w:rPr>
          <w:rFonts w:ascii="Calibri" w:hAnsi="Calibri"/>
          <w:b/>
          <w:color w:val="4A6B25"/>
          <w:sz w:val="20"/>
        </w:rPr>
        <w:t xml:space="preserve">3. </w:t>
      </w:r>
      <w:r>
        <w:rPr>
          <w:rFonts w:ascii="Calibri" w:hAnsi="Calibri"/>
          <w:b w:val="0"/>
          <w:color w:val="3A4A28"/>
          <w:sz w:val="20"/>
        </w:rPr>
        <w:t>Cyclical charter rate exposure — a downturn in dry bulk or tanker rates would severely compress earnings given the small fleet size and lack of long-term contracts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Shipping is one of the most AI-immune industries — physical movement of bulk commodities and crude oil across oceans cannot be replaced or substituted by artificial intelligence [1]. The business involves physical-world operations (vessel maintenance, drydocking, port operations, crew management) and is governed by international maritime regulations that AI cannot circumvent. If anything, AI-driven economic growth increases demand for bulk commodity transportation. No analyst has flagged AI as a risk factor for dry bulk or tanker shipping. AI Opportunity (0/1): C3is generates no revenue from AI products or services; it is a traditional vessel-owning shipping company with no technology component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C3is Inc. Q4 2025 Earnings Release — $10.5M net income (481% increase), $17M EBITDA, TCE $19,469/day, February 2026</w:t>
      </w:r>
    </w:p>
    <w:p>
      <w:pPr>
        <w:spacing w:before="20" w:after="20"/>
        <w:ind w:left="170"/>
      </w:pPr>
      <w:r>
        <w:rPr>
          <w:rFonts w:ascii="Calibri" w:hAnsi="Calibri"/>
          <w:b/>
          <w:color w:val="4A6B25"/>
          <w:sz w:val="15"/>
        </w:rPr>
        <w:t xml:space="preserve">2. </w:t>
      </w:r>
      <w:r>
        <w:rPr>
          <w:rFonts w:ascii="Calibri" w:hAnsi="Calibri"/>
          <w:b w:val="0"/>
          <w:color w:val="3A4A28"/>
          <w:sz w:val="17"/>
        </w:rPr>
        <w:t>GlobeNewsWire — C3is acquires two MR product tankers, fleet capacity +387%, January 22, 2026</w:t>
      </w:r>
    </w:p>
    <w:p>
      <w:pPr>
        <w:spacing w:before="20" w:after="20"/>
        <w:ind w:left="170"/>
      </w:pPr>
      <w:r>
        <w:rPr>
          <w:rFonts w:ascii="Calibri" w:hAnsi="Calibri"/>
          <w:b/>
          <w:color w:val="4A6B25"/>
          <w:sz w:val="15"/>
        </w:rPr>
        <w:t xml:space="preserve">3. </w:t>
      </w:r>
      <w:r>
        <w:rPr>
          <w:rFonts w:ascii="Calibri" w:hAnsi="Calibri"/>
          <w:b w:val="0"/>
          <w:color w:val="3A4A28"/>
          <w:sz w:val="17"/>
        </w:rPr>
        <w:t>C3is Inc. corporate website (c3is.pro) — Management &amp; Board, company profile</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CISS,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