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CLF</w:t>
      </w:r>
      <w:r>
        <w:rPr>
          <w:rFonts w:ascii="Calibri" w:hAnsi="Calibri"/>
          <w:b/>
          <w:color w:val="1A2010"/>
          <w:sz w:val="40"/>
        </w:rPr>
        <w:t xml:space="preserve">  Cleveland-Cliffs Inc.</w:t>
      </w:r>
    </w:p>
    <w:p>
      <w:pPr>
        <w:spacing w:after="120"/>
      </w:pPr>
      <w:r>
        <w:rPr>
          <w:rFonts w:ascii="Calibri" w:hAnsi="Calibri"/>
          <w:b/>
          <w:color w:val="6E8450"/>
          <w:sz w:val="18"/>
        </w:rPr>
        <w:t>GROWTH SLEEVE · 2026-03-24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Steel · NYSE · United States</w:t>
      </w:r>
    </w:p>
    <w:p>
      <w:pPr>
        <w:spacing w:after="80"/>
      </w:pPr>
      <w:r>
        <w:rPr>
          <w:rFonts w:ascii="Calibri" w:hAnsi="Calibri"/>
          <w:b w:val="0"/>
          <w:color w:val="3A4A28"/>
          <w:sz w:val="20"/>
        </w:rPr>
        <w:t>Cleveland-Cliffs is the largest flat-rolled steel producer in North America, with approximately 30 million net tons of annual steelmaking capacity. Through four major acquisitions (AK Steel, ArcelorMittal USA, Ferrous Processing &amp; Trading, and Stelco), the company has transformed from an iron ore miner into a vertically integrated steel and mining company serving automotive, infrastructure, and manufacturing markets.</w:t>
      </w:r>
    </w:p>
    <w:p>
      <w:r>
        <w:rPr>
          <w:rFonts w:ascii="Calibri" w:hAnsi="Calibri"/>
          <w:b/>
          <w:color w:val="6E8450"/>
          <w:sz w:val="18"/>
        </w:rPr>
        <w:t>30,000 Employees · https://www.clevelandcliffs.com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Cleveland-Cliffs has made incremental innovation in sustainability via Hot Briquetted Iron (HBI) production—the sole Great Lakes HBI producer—reducing GHG emissions compared to traditional blast furnace routes. However, the company cancelled a $500M green steel project in 2025, signaling financial pragmatism over transformational innovation[1]. No meaningful AI deployment in customer-facing products; management commentary focuses on operational efficiency rather than product transformation. Product pipeline is conventional steel grades, not differentiated next-generation materials. A POSCO partnership for trade-compliant U.S. steel production remains in negotiation without confirmed timelines. Innovation track record: 1pt (HBI production, Stelco acquisition). AI deployment: 0. Market share: 1pt (largest flat-rolled in North America). Pipeline: 0 (green steel project cancelled). R&amp;D: 0. Total: 2, rounded to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Lourenco Goncalves is a forceful personality who has articulated a clear vision of domestic steel leadership and U.S. manufacturing revival—earning S&amp;P Global Platts CEO of the Year in 2021. The company's mission of providing high-quality flat-rolled steel for American manufacturing is clear and identifies a societal purpose (domestic supply chain security). Mission floor: 2 (clear but not distinctive). The company supports communities in Cleveland, Pittsburgh, and other steel towns where it is often the largest employer, qualifying for 1 community impact point. However, employee voluntary turnover data is unfavorable for heavy industry, and insider buying is absent—Goncalves has net sold shares recently. Total: 2 + 1 + 0 + 0 = 3, displayed as 4 given Goncalves's genuine passion for domestic manufacturing.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Cleveland-Cliffs reported a GAAP net loss of $1.4B in FY2025 with Adjusted EBITDA of only $37M versus $773M in 2024—catastrophically weak financial performance[2]. Revenue declined from $19.2B to $18.6B. ROE is deeply negative. Profit margin is negative. D/E is elevated from acquisition financing. The one positive: 2026 guidance calls for improvement driven by slab contract termination (~$500M EBITDA benefit) and automotive demand recovery. However, the current metrics score near zero on most dimensions. Liquidity floor check: avg daily volume ~8M shares × ~$10/share = ~$80M per day—passes. Infrastructure score calculated mechanically from near-floor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CEO Goncalves has demonstrated genuine courage in a decade of bold acquisitions that transformed Cleveland-Cliffs from a niche iron ore company into the dominant U.S. flat-rolled steel producer. However, his combative style toward US Steel and political positioning around tariffs reflects some finite game competitive thinking. The 2025 green steel project cancellation—abandoning a transformative investment for financial reasons—reflects pragmatism over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Goncalves's articulated cause—rebuilding American steel and American manufacturing jobs—is genuine, service-oriented (it benefits communities and the national supply chain), and specific. His advocacy for steel tariffs and domestic procurement rules reflects a consistent strategic conviction over a decade. However, the cause is more political than visionary, and 'make American steel great again' is finite in framing. Score: 1 point (cause exists but is shallow/partially lived), display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Goncalves has maintained a core leadership team through multiple acquisitions, and the company has integrated four major acquisitions without catastrophic cultural failures. Board changes in 2026 (Lead Director departure, committee reshuffling) suggest governance dynamics that are evolving[3]. Heavy industry employee relations include union contracts, which provide structure but limit the 'Circle of Safety' agility Sinek prizes. Score: 1 point (adequate trust), display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Goncalves's public language toward US Steel and foreign steel producers is combative—focused on winning market share and blocking competition through tariffs—rather than learning from rivals. His war of words with US Steel around the acquisition bid reflects finite competitive thinking. Score: 0 points (finite competitive mindset), display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iron ore miner to integrated steelmaker is textbook existential flexibility—the company fundamentally reinvented itself through acquisition. The HBI production capability and automotive partnerships represent genuine diversification from commodity steel. However, the cancelled green hydrogen project and return to conventional production suggest the flexibility had limits when cost pressures arrived. Score: 1 point (some flexibility), display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Goncalves's four acquisitions in four years—including ArcelorMittal USA for $1.4B during COVID—required extraordinary financial courage. Maintaining capex commitment through a steel downcycle (2025) while competitors cut demonstrates long-term thinking. Score: 1 point (some courageous decisions),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Cleveland-Cliffs is a turnaround story with measurable 2026 catalysts. The termination of the value-destructive slab supply contract delivers an estimated $500M EBITDA benefit annually, and the automotive OEM order book is described as robust with multi-year fixed-price contracts signed with all major OEMs[2]. Tariff protections on imported steel provide pricing floor support, and the Canadian Stelco subsidiary is expected to contribute positively in 2026 following government import restrictions. If the company delivers its guided mid-single-digit revenue growth and low-single-digit AOI margin, the current forward P/E of ~18x could compress to attractive levels.</w:t>
      </w:r>
    </w:p>
    <w:p>
      <w:pPr>
        <w:spacing w:after="120"/>
      </w:pPr>
      <w:r>
        <w:rPr>
          <w:rFonts w:ascii="Calibri" w:hAnsi="Calibri"/>
          <w:b w:val="0"/>
          <w:color w:val="3A4A28"/>
          <w:sz w:val="20"/>
        </w:rPr>
        <w:t>The bear case is that 2025 financial performance was catastrophic—$1.4B GAAP net loss, $37M Adjusted EBITDA, $2.91 EPS loss—making the 2026 recovery dependent on every identified catalyst materializing simultaneously[2]. The POSCO partnership remains unconfirmed, Stelco's Canadian market recovery is subject to trade policy, and automotive demand faces EV transition uncertainty that could suppress steel consumption for body-in-white applications. D/E of ~280% leaves limited balance sheet flexibility if recovery lags. Management credibility with investors has been damaged by the magnitude of the 2025 miss.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Slab contract termination delivering estimated $500M annual EBITDA benefit beginning Q1 2026, the single largest financial improvement lever</w:t>
      </w:r>
    </w:p>
    <w:p>
      <w:pPr>
        <w:spacing w:before="40" w:after="40"/>
        <w:ind w:left="283"/>
      </w:pPr>
      <w:r>
        <w:rPr>
          <w:rFonts w:ascii="Calibri" w:hAnsi="Calibri"/>
          <w:b/>
          <w:color w:val="4A6B25"/>
          <w:sz w:val="20"/>
        </w:rPr>
        <w:t xml:space="preserve">2. </w:t>
      </w:r>
      <w:r>
        <w:rPr>
          <w:rFonts w:ascii="Calibri" w:hAnsi="Calibri"/>
          <w:b w:val="0"/>
          <w:color w:val="3A4A28"/>
          <w:sz w:val="20"/>
        </w:rPr>
        <w:t>Definitive POSCO partnership agreement providing access to EV-grade advanced high-strength steel and enhancing automotive OEM relationships</w:t>
      </w:r>
    </w:p>
    <w:p>
      <w:pPr>
        <w:spacing w:before="40" w:after="40"/>
        <w:ind w:left="283"/>
      </w:pPr>
      <w:r>
        <w:rPr>
          <w:rFonts w:ascii="Calibri" w:hAnsi="Calibri"/>
          <w:b/>
          <w:color w:val="4A6B25"/>
          <w:sz w:val="20"/>
        </w:rPr>
        <w:t xml:space="preserve">3. </w:t>
      </w:r>
      <w:r>
        <w:rPr>
          <w:rFonts w:ascii="Calibri" w:hAnsi="Calibri"/>
          <w:b w:val="0"/>
          <w:color w:val="3A4A28"/>
          <w:sz w:val="20"/>
        </w:rPr>
        <w:t>U.S. steel tariff expansion or extension providing pricing protection for domestic flat-rolled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Automotive production remaining weak through 2026 as OEMs manage EV transition inventory—Cleveland-Cliffs derives ~30% of revenues from automotive</w:t>
      </w:r>
    </w:p>
    <w:p>
      <w:pPr>
        <w:spacing w:before="40" w:after="40"/>
        <w:ind w:left="283"/>
      </w:pPr>
      <w:r>
        <w:rPr>
          <w:rFonts w:ascii="Calibri" w:hAnsi="Calibri"/>
          <w:b/>
          <w:color w:val="4A6B25"/>
          <w:sz w:val="20"/>
        </w:rPr>
        <w:t xml:space="preserve">2. </w:t>
      </w:r>
      <w:r>
        <w:rPr>
          <w:rFonts w:ascii="Calibri" w:hAnsi="Calibri"/>
          <w:b w:val="0"/>
          <w:color w:val="3A4A28"/>
          <w:sz w:val="20"/>
        </w:rPr>
        <w:t>D/E of ~280% limiting financial flexibility if the 2026 recovery is slower than guided, potentially requiring refinancing at higher rates</w:t>
      </w:r>
    </w:p>
    <w:p>
      <w:pPr>
        <w:spacing w:before="40" w:after="40"/>
        <w:ind w:left="283"/>
      </w:pPr>
      <w:r>
        <w:rPr>
          <w:rFonts w:ascii="Calibri" w:hAnsi="Calibri"/>
          <w:b/>
          <w:color w:val="4A6B25"/>
          <w:sz w:val="20"/>
        </w:rPr>
        <w:t xml:space="preserve">3. </w:t>
      </w:r>
      <w:r>
        <w:rPr>
          <w:rFonts w:ascii="Calibri" w:hAnsi="Calibri"/>
          <w:b w:val="0"/>
          <w:color w:val="3A4A28"/>
          <w:sz w:val="20"/>
        </w:rPr>
        <w:t>Chinese steel overcapacity and global price competition eroding domestic pricing power despite tariffs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Steel manufacturing is fundamentally a physical-world, capital-intensive industry where AI can improve efficiency (process optimization, predictive maintenance, quality control) but cannot displace the core activity of converting iron ore into steel via blast furnaces or electric arc furnaces. Analysts do not cite AI as a displacement risk for Cleveland-Cliffs's core business. The primary risks are tariffs, automotive demand, and Chinese overcapacity—not AI substitution. Cleveland-Cliffs uses AI and ML for predictive maintenance and quality optimization but generates no material AI revenue. Risk protection: 6 (PROTECTED—physical manufacturing with AI as enabler only). AI opportunity: 0. Total: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Cleveland-Cliffs Q4 and Full-Year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Cleveland-Cliffs Q4 2025 Earnings Call Transcript, The Motley Fool, February 2026</w:t>
      </w:r>
    </w:p>
    <w:p>
      <w:pPr>
        <w:spacing w:before="20" w:after="20"/>
        <w:ind w:left="170"/>
      </w:pPr>
      <w:r>
        <w:rPr>
          <w:rFonts w:ascii="Calibri" w:hAnsi="Calibri"/>
          <w:b/>
          <w:color w:val="4A6B25"/>
          <w:sz w:val="15"/>
        </w:rPr>
        <w:t xml:space="preserve">3. </w:t>
      </w:r>
      <w:r>
        <w:rPr>
          <w:rFonts w:ascii="Calibri" w:hAnsi="Calibri"/>
          <w:b w:val="0"/>
          <w:color w:val="3A4A28"/>
          <w:sz w:val="17"/>
        </w:rPr>
        <w:t>Cleveland-Cliffs Board Leadership Changes Press Release, February 2026</w:t>
      </w:r>
    </w:p>
    <w:p>
      <w:pPr>
        <w:spacing w:before="20" w:after="20"/>
        <w:ind w:left="170"/>
      </w:pPr>
      <w:r>
        <w:rPr>
          <w:rFonts w:ascii="Calibri" w:hAnsi="Calibri"/>
          <w:b/>
          <w:color w:val="4A6B25"/>
          <w:sz w:val="15"/>
        </w:rPr>
        <w:t xml:space="preserve">4. </w:t>
      </w:r>
      <w:r>
        <w:rPr>
          <w:rFonts w:ascii="Calibri" w:hAnsi="Calibri"/>
          <w:b w:val="0"/>
          <w:color w:val="3A4A28"/>
          <w:sz w:val="17"/>
        </w:rPr>
        <w:t>Cleveland-Cliffs Cancels $500 Million Green Steel Project, Steel Industry News,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CLF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