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CLM</w:t>
      </w:r>
      <w:r>
        <w:rPr>
          <w:rFonts w:ascii="Calibri" w:hAnsi="Calibri"/>
          <w:b/>
          <w:color w:val="1A2010"/>
          <w:sz w:val="40"/>
        </w:rPr>
        <w:t xml:space="preserve">  Cornerstone Strategic Investment Fund, Inc.</w:t>
      </w:r>
    </w:p>
    <w:p>
      <w:pPr>
        <w:spacing w:after="120"/>
      </w:pPr>
      <w:r>
        <w:rPr>
          <w:rFonts w:ascii="Calibri" w:hAnsi="Calibri"/>
          <w:b/>
          <w:color w:val="6E8450"/>
          <w:sz w:val="18"/>
        </w:rPr>
        <w:t>DIVIDEND SLEEVE · 2026-04-13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American · United States</w:t>
      </w:r>
    </w:p>
    <w:p>
      <w:pPr>
        <w:spacing w:after="80"/>
      </w:pPr>
      <w:r>
        <w:rPr>
          <w:rFonts w:ascii="Calibri" w:hAnsi="Calibri"/>
          <w:b w:val="0"/>
          <w:color w:val="3A4A28"/>
          <w:sz w:val="20"/>
        </w:rPr>
        <w:t>Cornerstone Strategic Investment Fund (formerly Cornerstone Strategic Value Fund) is a diversified closed-end equity mutual fund managed by Cornerstone Advisors, LLC. Incorporated in Maryland in 1987, the fund invests in global public equities using a balanced value/growth approach and is best known for its 21% managed distribution policy that returns NAV to shareholders monthly.</w:t>
      </w:r>
    </w:p>
    <w:p>
      <w:r>
        <w:rPr>
          <w:rFonts w:ascii="Calibri" w:hAnsi="Calibri"/>
          <w:b/>
          <w:color w:val="6E8450"/>
          <w:sz w:val="18"/>
        </w:rPr>
        <w:t>https://cornerstonestrategicinvestmentfund.com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 1987-vintage closed-end equity fund operating the same managed distribution strategy for decades — no product launches, business pivots, or new revenue streams [1][2]. AI Deployment (0/2): No AI products, no AI-driven analytics offerings to shareholders, no public discussion of AI integration in portfolio management [2]. Market Share (1/2): CLM is a recognizable name within the equity closed-end fund category but operates in a shrinking niche; the fund's competitive moat is its 21% distribution policy rather than category leadership [1][2]. Pipeline (0/2): No product pipeline — the structure is a static investment vehicle [2]. R&amp;D Intensity (0/1): R&amp;D is not applicable / non-existent for a closed-end fund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Cornerstone's stated purpose is generic — provide capital appreciation and current income to shareholders through a managed distribution policy. There is no distinctive Just Cause beyond delivering monthly cash distributions [2]. Community Impact (0/2): No charitable foundation, community programs, or measurable social impact disclosed by the fund or its adviser [2]. Employee Retention (0/2): The fund itself has no employees; Cornerstone Advisors is a small RIA with no public retention data [2]. Insider Buying (0/2): No meaningful insider buying disclosed; the adviser earns fees regardless of NAV trajectory, weakening alignment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structurally weak for a managed-distribution closed-end fund. The 21% distribution rate is multiples of the underlying portfolio's earnings yield, so a meaningful portion of monthly distributions is return-of-capital — investors are getting their own money back rather than earned income [1][3]. The fund typically trades at a premium to NAV that has historically eroded as distributions outpace total return, and it routinely conducts dilutive rights offerings to refresh capital [1]. There are no traditional company financials (revenue growth, ROE, profit margins) because the entity is an investment vehicle, but the dividend coverage and capital-erosion dynamics earn a deeply weak Infrastructure score on the dividend rubric. Liquidity floor cleared given normal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CLM exists primarily to harvest fees on an asset base that is steadily eroded by a 21% distribution policy. The structure rewards the adviser for AUM persistence, not for advancing any cause beyond monthly cash payouts to shareholders. There is no Just Cause, no transformative pivot, and no evidence of courageous decisions that prioritize long-term capability.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The fund's purpose is to deliver monthly cash via a managed distribution policy, which is a financial mechanic rather than a vision of a better future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Cornerstone Advisors has shown leadership continuity over decades, but as a small RIA with no public employee data, there is no exceptional trust evidence either way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commentary acknowledging worthy rivals (passive ETFs, peer CEFs) or learning from them. The fund's competitive frame is its distribution rate, not self-improvement against rivals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The fund has run essentially the same managed-distribution strategy since the 1990s without meaningful structural reinvention even as ETFs and direct indexing have eroded the closed-end fund value proposition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The 21% distribution rate persists despite return-of-capital concerns and historical NAV erosion — leadership has not chosen the harder path of cutting the distribution to a sustainable level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Cornerstone Strategic Investment Fund (CLM) is a closed-end equity mutual fund best known for its 21%-of-NAV managed distribution policy, paying $0.1215 per share monthly in early 2026 [1][3]. For income-focused investors who understand the mechanics, CLM offers a high headline yield and consistent monthly cash flow that can be harvested even when the underlying market is volatile. The fund holds a diversified global equity portfolio managed by Cornerstone Advisors, LLC, with operations dating back to 1987, providing a long operating track record and reasonable secondary market liquidity [2].</w:t>
      </w:r>
    </w:p>
    <w:p>
      <w:pPr>
        <w:spacing w:after="120"/>
      </w:pPr>
      <w:r>
        <w:rPr>
          <w:rFonts w:ascii="Calibri" w:hAnsi="Calibri"/>
          <w:b w:val="0"/>
          <w:color w:val="3A4A28"/>
          <w:sz w:val="20"/>
        </w:rPr>
        <w:t>The bear case is fundamental to the structure: the 21% distribution rate vastly exceeds any reasonable equity return, so a substantial portion of monthly distributions is return-of-capital — investors are simply getting their own money back, which steadily erodes NAV over time [1][3]. The fund routinely trades at a premium to NAV that compresses when distributions are reset lower, and recurring dilutive rights offerings further pressure per-share NAV [1]. There is no Just Cause, no innovation, and no courageous capital-allocation discipline — the structure exists primarily to perpetuate AUM-based fees for the adviser. AI-driven robo-advisors and low-cost ETFs continue to commoditize the high-yield-equity wrapper that CLM occupies. For total-return-focused investors, CLM is a poor vehicle relative to direct equity indexing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distribution rate maintained at 21% of NAV with monthly $0.1215 payments providing predictable cash flow for income-seekers [1]</w:t>
      </w:r>
    </w:p>
    <w:p>
      <w:pPr>
        <w:spacing w:before="40" w:after="40"/>
        <w:ind w:left="283"/>
      </w:pPr>
      <w:r>
        <w:rPr>
          <w:rFonts w:ascii="Calibri" w:hAnsi="Calibri"/>
          <w:b/>
          <w:color w:val="4A6B25"/>
          <w:sz w:val="20"/>
        </w:rPr>
        <w:t xml:space="preserve">2. </w:t>
      </w:r>
      <w:r>
        <w:rPr>
          <w:rFonts w:ascii="Calibri" w:hAnsi="Calibri"/>
          <w:b w:val="0"/>
          <w:color w:val="3A4A28"/>
          <w:sz w:val="20"/>
        </w:rPr>
        <w:t>Sustained equity market rally would lift NAV and reduce the return-of-capital component of distributions [1][3]</w:t>
      </w:r>
    </w:p>
    <w:p>
      <w:pPr>
        <w:spacing w:before="40" w:after="40"/>
        <w:ind w:left="283"/>
      </w:pPr>
      <w:r>
        <w:rPr>
          <w:rFonts w:ascii="Calibri" w:hAnsi="Calibri"/>
          <w:b/>
          <w:color w:val="4A6B25"/>
          <w:sz w:val="20"/>
        </w:rPr>
        <w:t xml:space="preserve">3. </w:t>
      </w:r>
      <w:r>
        <w:rPr>
          <w:rFonts w:ascii="Calibri" w:hAnsi="Calibri"/>
          <w:b w:val="0"/>
          <w:color w:val="3A4A28"/>
          <w:sz w:val="20"/>
        </w:rPr>
        <w:t>Premium-to-NAV expansion in income-starved environments could deliver short-term capital appreciation independent of underlying portfolio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Return-of-capital distributions structurally erode NAV — a meaningful portion of the 21% yield is the investor's own principal being returned [1][3]</w:t>
      </w:r>
    </w:p>
    <w:p>
      <w:pPr>
        <w:spacing w:before="40" w:after="40"/>
        <w:ind w:left="283"/>
      </w:pPr>
      <w:r>
        <w:rPr>
          <w:rFonts w:ascii="Calibri" w:hAnsi="Calibri"/>
          <w:b/>
          <w:color w:val="4A6B25"/>
          <w:sz w:val="20"/>
        </w:rPr>
        <w:t xml:space="preserve">2. </w:t>
      </w:r>
      <w:r>
        <w:rPr>
          <w:rFonts w:ascii="Calibri" w:hAnsi="Calibri"/>
          <w:b w:val="0"/>
          <w:color w:val="3A4A28"/>
          <w:sz w:val="20"/>
        </w:rPr>
        <w:t>Premium-to-NAV compression and dilutive rights offerings have historically reduced per-share NAV regardless of market direction [1]</w:t>
      </w:r>
    </w:p>
    <w:p>
      <w:pPr>
        <w:spacing w:before="40" w:after="40"/>
        <w:ind w:left="283"/>
      </w:pPr>
      <w:r>
        <w:rPr>
          <w:rFonts w:ascii="Calibri" w:hAnsi="Calibri"/>
          <w:b/>
          <w:color w:val="4A6B25"/>
          <w:sz w:val="20"/>
        </w:rPr>
        <w:t xml:space="preserve">3. </w:t>
      </w:r>
      <w:r>
        <w:rPr>
          <w:rFonts w:ascii="Calibri" w:hAnsi="Calibri"/>
          <w:b w:val="0"/>
          <w:color w:val="3A4A28"/>
          <w:sz w:val="20"/>
        </w:rPr>
        <w:t>Secular shift to low-cost ETFs and direct indexing continues to commoditize the closed-end equity fund category, pressuring premiums and AUM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As a passive investment vehicle holding a diversified global equity portfolio, CLM itself is not directly disrupted by AI — the underlying holdings carry their own AI risk, but the fund wrapper is structurally insulated [2]. The bigger structural risk is that AI-driven robo-advisors and low-cost ETFs continue to commoditize the asset-management layer, putting fee pressure on traditional CEFs over time, but no analyst has flagged CLM specifically as AI-disruption-vulnerable. AI Opportunity (0/1): The fund does not generate AI-related revenue and has not announced AI-driven portfolio analytics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StockTitan / QuiverQuant — Cornerstone Funds 2026 distribution announcement, $0.1215 monthly per share, 21% NAV distribution policy maintained, January 2026</w:t>
      </w:r>
    </w:p>
    <w:p>
      <w:pPr>
        <w:spacing w:before="20" w:after="20"/>
        <w:ind w:left="170"/>
      </w:pPr>
      <w:r>
        <w:rPr>
          <w:rFonts w:ascii="Calibri" w:hAnsi="Calibri"/>
          <w:b/>
          <w:color w:val="4A6B25"/>
          <w:sz w:val="15"/>
        </w:rPr>
        <w:t xml:space="preserve">2. </w:t>
      </w:r>
      <w:r>
        <w:rPr>
          <w:rFonts w:ascii="Calibri" w:hAnsi="Calibri"/>
          <w:b w:val="0"/>
          <w:color w:val="3A4A28"/>
          <w:sz w:val="17"/>
        </w:rPr>
        <w:t>Cornerstone Strategic Investment Fund company website (cornerstonestrategicinvestmentfund.com) and Closed-End Fund Association profile — fund history, structure, adviser background</w:t>
      </w:r>
    </w:p>
    <w:p>
      <w:pPr>
        <w:spacing w:before="20" w:after="20"/>
        <w:ind w:left="170"/>
      </w:pPr>
      <w:r>
        <w:rPr>
          <w:rFonts w:ascii="Calibri" w:hAnsi="Calibri"/>
          <w:b/>
          <w:color w:val="4A6B25"/>
          <w:sz w:val="15"/>
        </w:rPr>
        <w:t xml:space="preserve">3. </w:t>
      </w:r>
      <w:r>
        <w:rPr>
          <w:rFonts w:ascii="Calibri" w:hAnsi="Calibri"/>
          <w:b w:val="0"/>
          <w:color w:val="3A4A28"/>
          <w:sz w:val="17"/>
        </w:rPr>
        <w:t>Dividend.com / Morningstar — CLM distribution history, return-of-capital tax treatment, NAV trajectory analysis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