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CLNE</w:t>
      </w:r>
      <w:r>
        <w:rPr>
          <w:rFonts w:ascii="Calibri" w:hAnsi="Calibri"/>
          <w:b/>
          <w:color w:val="1A2010"/>
          <w:sz w:val="40"/>
        </w:rPr>
        <w:t xml:space="preserve">  Clean Energy Fuels Corp.</w:t>
      </w:r>
    </w:p>
    <w:p>
      <w:pPr>
        <w:spacing w:after="120"/>
      </w:pPr>
      <w:r>
        <w:rPr>
          <w:rFonts w:ascii="Calibri" w:hAnsi="Calibri"/>
          <w:b/>
          <w:color w:val="6E8450"/>
          <w:sz w:val="18"/>
        </w:rPr>
        <w:t>GROWTH SLEEVE · 2026-04-30 · Inspire: 72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United States</w:t>
      </w:r>
    </w:p>
    <w:p>
      <w:pPr>
        <w:spacing w:after="80"/>
      </w:pPr>
      <w:r>
        <w:rPr>
          <w:rFonts w:ascii="Calibri" w:hAnsi="Calibri"/>
          <w:b w:val="0"/>
          <w:color w:val="3A4A28"/>
          <w:sz w:val="20"/>
        </w:rPr>
        <w:t>Clean Energy Fuels is the largest provider of renewable natural gas (RNG) fuel for transportation in North America. The company supplies RNG, compressed natural gas (CNG), and liquefied natural gas (LNG) for medium and heavy-duty vehicle fleets, designs and operates fueling stations, and develops dairy farm RNG production projects to convert livestock waste into renewable fuel.</w:t>
      </w:r>
    </w:p>
    <w:p>
      <w:r>
        <w:rPr>
          <w:rFonts w:ascii="Calibri" w:hAnsi="Calibri"/>
          <w:b/>
          <w:color w:val="6E8450"/>
          <w:sz w:val="18"/>
        </w:rPr>
        <w:t>503 Employees · https://www.cleanenergyfuels.com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Clean Energy has maintained its position as the largest RNG provider in North America but has not executed transformative product launches or pivots — revenue has been flat at ~$420M for four consecutive years, and the business model remains fundamentally unchanged since the company's founding in 2001 [1][2]. AI Deployment (0/2): No evidence of AI-powered products or AI-driven operational efficiencies; the company is a physical fueling infrastructure operator without AI applications [3]. Market Share (1/2): Clean Energy is the dominant player in the North American natural gas transportation fuel market, operating the largest network of RNG/CNG/LNG fueling stations, but the market itself remains a niche segment of the broader transportation fuel industry [1]. Pipeline (1/2): The company expects RNG production to nearly double in 2026 through South Fork and East Valley dairy projects, targeting 7-9M gallons from eight operating dairies, and has entered hydrogen exploration, though these are incremental expansions rather than transformative new products [1][2]. R&amp;D Intensity (1/1): Meaningful investment in RNG production technology, dairy digester development, and hydrogen fueling infrastructure, though R&amp;D spending is modest relative to revenue given the capital-intensive nature of the business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Clean Energy's mission to fuel the transition to renewable energy in transportation is specific, thoughtful, and clearly differentiated — the company is purpose-built to reduce carbon emissions from heavy-duty trucking by converting livestock waste into vehicle fuel, directly connecting business activity to environmental impact [2][3]. However, the cause has not yet been validated by decades of profitable execution. Community Impact (1/2): The company's dairy RNG projects convert agricultural waste methane into fuel, providing environmental benefits to farming communities; the fueling station network directly serves public transit, refuse trucks, and municipal fleets, creating community-level emissions reductions [1]. Employee Retention (0/2): No specific retention data, Glassdoor reviews, or employee tenure information available for Clean Energy Fuels; the company has only 503 employees, making public retention data sparse. Insider Buying (1/2): New CEO Clay Corbus has nearly 20 years at the company and has significant equity exposure through his long tenure on the senior leadership team; the leadership transition from Andrew Littlefair signals internal promotion and continuity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 Energy's financial profile is challenged: -52.3% profit margin, -34.7% ROE, and a GAAP net loss guided at $66-71M for 2026, reflecting a company that has not achieved sustained profitability despite 25 years of operation [1][4]. Revenue has been essentially flat at ~$420M for four years (0.4% 3-year CAGR). Forward P/E of 130.9x and PEG of 4.72 reflect extremely low forward earnings of $0.018/share [4]. D/E of 57.6% is manageable with $156M cash against $326M debt, and the company guided to $70-75M adjusted EBITDA for 2026, providing some cash flow cushion. Free cash flow of ~$3M annually is near breakeven [4]. The $502M market cap on $425M revenue (1.2x P/S) prices in modest RNG growth expectations. Liquidity floor passes: 1.4M avg volume x $2.29 = $3.2M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Clean Energy Fuels demonstrates genuine infinite game thinking through its 25-year commitment to renewable transportation fuel despite never achieving sustained profitability, but the company's inability to scale beyond ~$420M in annual revenue raises questions about whether the strategy is enduringly viable or simply enduringly unprofitable.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 Energy's cause — decarbonizing heavy-duty transportation through renewable natural gas — is genuine, specific, and connects to a larger environmental purpose [2]. The company has pursued this cause for 25 years through multiple natural gas price cycles, regulatory changes, and competitive challenges, demonstrating durability of purpose. However, the cause has not been validated by decades of profitable execution, which distinguishes commitment from commercial viability.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Clay Corbus's nearly 20-year tenure at Clean Energy and internal promotion suggests a stable leadership culture that promotes from within [3]. The company's small size (503 employees) creates proximity between leadership and teams. However, no specific employee satisfaction data is available to confirm trust levels beyond leadership continuity signals.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 Energy competes against diesel, electric vehicle manufacturers, and hydrogen fuel providers, and the company's language frames competition as motivation to prove that RNG is the most practical near-term decarbonization solution for heavy-duty trucking rather than trying to destroy alternatives [1][2]. The hydrogen exploration initiative shows willingness to learn from emerging competitors rather than dismissing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 Energy has evolved from primarily a CNG/LNG distribution company to vertically integrating into upstream RNG production through dairy digester projects — a meaningful strategic shift that changes the company's value proposition from fuel distributor to fuel producer [1]. The recent hydrogen bet represents additional exploration of adjacencies. However, the core business model of fueling stations has remained largely unchanged for two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Clean Energy's willingness to invest in dairy RNG production projects (capital-intensive with multi-year payback periods) while operating at a GAAP loss demonstrates courage — the company is building long-term production assets rather than optimizing short-term profitability [1]. The 2026 guidance projecting continued GAAP losses while investing in doubling RNG production shows commitment to the long game.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Clean Energy Fuels is the dominant provider of renewable natural gas for heavy-duty transportation in North America, positioned at the intersection of decarbonization mandates and practical fleet fuel economics [1]. The 2026 outlook shows meaningful operational progress: RNG production expected to nearly double from dairy projects, fuel volumes targeting 324M gallons with 250M gallons RNG, and adjusted EBITDA guidance of $70-75M represents improving unit economics [1]. At $502M market cap (1.2x P/S), the stock trades at a significant discount to clean energy peers. The LCFS and RIN credit regulatory framework creates revenue tailwinds, and AI/data center-driven electricity demand growth may increase natural gas infrastructure value long-term. Clay Corbus's 20-year tenure as CEO provides strategic continuity.</w:t>
      </w:r>
    </w:p>
    <w:p>
      <w:pPr>
        <w:spacing w:after="120"/>
      </w:pPr>
      <w:r>
        <w:rPr>
          <w:rFonts w:ascii="Calibri" w:hAnsi="Calibri"/>
          <w:b w:val="0"/>
          <w:color w:val="3A4A28"/>
          <w:sz w:val="20"/>
        </w:rPr>
        <w:t>The bear case is anchored in persistent unprofitability: Clean Energy has operated for 25 years without achieving sustained GAAP profitability, guiding to a $66-71M net loss in 2026 despite $420-440M in revenue [1][4]. The -52.3% profit margin and near-zero free cash flow ($3M) suggest the business model may be structurally unprofitable. Revenue has been flat at ~$420M for four consecutive years, raising questions about market size limitations for natural gas transportation fuel. Electric vehicle adoption in trucking (Tesla Semi, Daimler eActros, Nikola) represents a long-term existential threat if battery technology improves for long-haul applications. The company's dependence on government credits (LCFS, RINs) for revenue creates regulatory risk — any reduction in credit values directly impacts profitability. At $2.29 per share, the stock is a micro-cap with limited institutional ownership and higher volatility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Near-doubling of RNG production in 2026 through South Fork and East Valley dairy projects, with upstream business expected to achieve positive adjusted EBITDA for the first time [1]</w:t>
      </w:r>
    </w:p>
    <w:p>
      <w:pPr>
        <w:spacing w:before="40" w:after="40"/>
        <w:ind w:left="283"/>
      </w:pPr>
      <w:r>
        <w:rPr>
          <w:rFonts w:ascii="Calibri" w:hAnsi="Calibri"/>
          <w:b/>
          <w:color w:val="4A6B25"/>
          <w:sz w:val="20"/>
        </w:rPr>
        <w:t xml:space="preserve">2. </w:t>
      </w:r>
      <w:r>
        <w:rPr>
          <w:rFonts w:ascii="Calibri" w:hAnsi="Calibri"/>
          <w:b w:val="0"/>
          <w:color w:val="3A4A28"/>
          <w:sz w:val="20"/>
        </w:rPr>
        <w:t>Expansion of total fuel volumes to 324M gallons in 2026, with RNG comprising 250M gallons, demonstrating the transition from fossil CNG/LNG to renewable fuel [1]</w:t>
      </w:r>
    </w:p>
    <w:p>
      <w:pPr>
        <w:spacing w:before="40" w:after="40"/>
        <w:ind w:left="283"/>
      </w:pPr>
      <w:r>
        <w:rPr>
          <w:rFonts w:ascii="Calibri" w:hAnsi="Calibri"/>
          <w:b/>
          <w:color w:val="4A6B25"/>
          <w:sz w:val="20"/>
        </w:rPr>
        <w:t xml:space="preserve">3. </w:t>
      </w:r>
      <w:r>
        <w:rPr>
          <w:rFonts w:ascii="Calibri" w:hAnsi="Calibri"/>
          <w:b w:val="0"/>
          <w:color w:val="3A4A28"/>
          <w:sz w:val="20"/>
        </w:rPr>
        <w:t>Hydrogen fueling infrastructure exploration as a potential new growth vertical, leveraging existing station network and fleet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unprofitability — 25 years without sustained GAAP profitability and guided net loss of $66-71M in 2026, with unclear path to breakeven [1][4]</w:t>
      </w:r>
    </w:p>
    <w:p>
      <w:pPr>
        <w:spacing w:before="40" w:after="40"/>
        <w:ind w:left="283"/>
      </w:pPr>
      <w:r>
        <w:rPr>
          <w:rFonts w:ascii="Calibri" w:hAnsi="Calibri"/>
          <w:b/>
          <w:color w:val="4A6B25"/>
          <w:sz w:val="20"/>
        </w:rPr>
        <w:t xml:space="preserve">2. </w:t>
      </w:r>
      <w:r>
        <w:rPr>
          <w:rFonts w:ascii="Calibri" w:hAnsi="Calibri"/>
          <w:b w:val="0"/>
          <w:color w:val="3A4A28"/>
          <w:sz w:val="20"/>
        </w:rPr>
        <w:t>Electric vehicle disruption of heavy-duty trucking as Tesla Semi and other battery-electric trucks improve range and economics for long-haul applications</w:t>
      </w:r>
    </w:p>
    <w:p>
      <w:pPr>
        <w:spacing w:before="40" w:after="40"/>
        <w:ind w:left="283"/>
      </w:pPr>
      <w:r>
        <w:rPr>
          <w:rFonts w:ascii="Calibri" w:hAnsi="Calibri"/>
          <w:b/>
          <w:color w:val="4A6B25"/>
          <w:sz w:val="20"/>
        </w:rPr>
        <w:t xml:space="preserve">3. </w:t>
      </w:r>
      <w:r>
        <w:rPr>
          <w:rFonts w:ascii="Calibri" w:hAnsi="Calibri"/>
          <w:b w:val="0"/>
          <w:color w:val="3A4A28"/>
          <w:sz w:val="20"/>
        </w:rPr>
        <w:t>Government credit dependency — LCFS and RIN credit values are subject to regulatory changes that could materially impact revenue and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Clean Energy's business is deeply physical — building and operating fueling stations, developing dairy digester RNG production facilities, and distributing compressed/liquefied natural gas to heavy-duty truck fleets [1]. AI cannot substitute physical fueling infrastructure, replace the dairy-to-RNG biogas conversion process, or displace the need for on-the-ground station maintenance. The business benefits from local permitting, utility interconnect relationships, and long-term fleet fueling contracts that create structural moats. AI-driven data center growth may indirectly increase demand for natural gas infrastructure. AI Opportunity (0/1): No evidence of AI-generated revenue; Clean Energy is a physical infrastructure and fuel distribution company without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Clean Energy Fuels Q4 2025 Earnings Call — 2026 guidance of $420-440M revenue, $70-75M adjusted EBITDA, near-doubling RNG production, February 2026</w:t>
      </w:r>
    </w:p>
    <w:p>
      <w:pPr>
        <w:spacing w:before="20" w:after="20"/>
        <w:ind w:left="170"/>
      </w:pPr>
      <w:r>
        <w:rPr>
          <w:rFonts w:ascii="Calibri" w:hAnsi="Calibri"/>
          <w:b/>
          <w:color w:val="4A6B25"/>
          <w:sz w:val="15"/>
        </w:rPr>
        <w:t xml:space="preserve">2. </w:t>
      </w:r>
      <w:r>
        <w:rPr>
          <w:rFonts w:ascii="Calibri" w:hAnsi="Calibri"/>
          <w:b w:val="0"/>
          <w:color w:val="3A4A28"/>
          <w:sz w:val="17"/>
        </w:rPr>
        <w:t>Clean Energy Fuels Corp. — 2026 plans for dairy RNG expansion, hydrogen exploration, fleet customer partnerships; corporate strategy, 2026</w:t>
      </w:r>
    </w:p>
    <w:p>
      <w:pPr>
        <w:spacing w:before="20" w:after="20"/>
        <w:ind w:left="170"/>
      </w:pPr>
      <w:r>
        <w:rPr>
          <w:rFonts w:ascii="Calibri" w:hAnsi="Calibri"/>
          <w:b/>
          <w:color w:val="4A6B25"/>
          <w:sz w:val="15"/>
        </w:rPr>
        <w:t xml:space="preserve">3. </w:t>
      </w:r>
      <w:r>
        <w:rPr>
          <w:rFonts w:ascii="Calibri" w:hAnsi="Calibri"/>
          <w:b w:val="0"/>
          <w:color w:val="3A4A28"/>
          <w:sz w:val="17"/>
        </w:rPr>
        <w:t>Clean Energy Fuels leadership — CEO Clay Corbus appointment, 20-year company tenure; corporate mission and sustainability focus,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CLNE, accessed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