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CLSK</w:t>
      </w:r>
      <w:r>
        <w:rPr>
          <w:rFonts w:ascii="Calibri" w:hAnsi="Calibri"/>
          <w:b/>
          <w:color w:val="1A2010"/>
          <w:sz w:val="40"/>
        </w:rPr>
        <w:t xml:space="preserve">  CleanSpark, Inc.</w:t>
      </w:r>
    </w:p>
    <w:p>
      <w:pPr>
        <w:spacing w:after="120"/>
      </w:pPr>
      <w:r>
        <w:rPr>
          <w:rFonts w:ascii="Calibri" w:hAnsi="Calibri"/>
          <w:b/>
          <w:color w:val="6E8450"/>
          <w:sz w:val="18"/>
        </w:rPr>
        <w:t>GROWTH SLEEVE · 2026-03-23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CleanSpark is the largest publicly traded, self-operated Bitcoin miner in the U.S. with 1.8+ GW of power, land, and data center portfolio. The company mined 568 BTC in February 2026 with a peak hashrate of 50 EH/s and is pivoting to AI/HPC data center services, adding 300 MW of ERCOT-approved capacity in Texas.</w:t>
      </w:r>
    </w:p>
    <w:p>
      <w:r>
        <w:rPr>
          <w:rFonts w:ascii="Calibri" w:hAnsi="Calibri"/>
          <w:b/>
          <w:color w:val="6E8450"/>
          <w:sz w:val="18"/>
        </w:rPr>
        <w:t>309 Employees · https://www.cleanspark.com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FY2026 revenue of $181M; first publicly traded miner to reach 30 EH/s and 50 EH/s milestones using fully self-operated data centers [1]. 13,363 BTC on balance sheet. AI Deployment (1/2): Hired SVP of AI Data Centers (Jeffrey Thomas) and announced strategic pivot to dual-track Bitcoin mining plus AI/HPC compute services [2]. Market Share (2/2): Largest self-operated Bitcoin miner with 1.03 GW energized and 1.7 GW pipeline. Pipeline (1/2): Texas campus closure adding 300 MW ERCOT capacity; multi-gigawatt AI infrastructure platform advancing. R&amp;D Intensity (0/1): Limited formal R&amp;D; innovation primarily in operational scaling and energy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Schultz frames mission as 'maximize megawatt monetization through Bitcoin mining and beyond' — practical but not inspirational. Community Impact (1/2): Hurricane Helene response — CleanSpark curtailed Bitcoin mining load to restore power to a local hospital within an hour, demonstrating genuine community value [2]. Employee Retention (1/2): CEO Schultz is co-founder with deep roots, but former CEO Bradford resigned August 2025 and four key leadership realignments followed. Insider Buying (1/2): Schultz's co-founder status and continued leadership provide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CleanSpark reports TTM revenue of $785.2M but net loss of $267M with negative profit margin of -33.2% [1][3]. D/E of 129.5% reflects $1.15B in convertible notes. Free cash flow yield is deeply negative at -38.3%. The company holds 13,363 BTC (approximately $1.3B at current prices) which provides significant asset backing. Forward P/E of -15.9 reflects near-term unprofitability. High beta of 5.5 indicates extreme volatility. Liquidity floor: 25.3M avg volume x $9.40 = $238M daily turnover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CleanSpark demonstrates mixed infinite game qualities. The co-founder leadership, 1.8+ GW power portfolio, and strategic vision of 'megawatt monetization' show long-term asset building. However, the CEO resignation, four subsequent leadership changes, and dependence on Bitcoin price cycles introduce finite instability.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Schultz's framing of 'strategic compute as national security' elevates the mission beyond Bitcoin mining, but the company's historical identity as a Bitcoin miner limits inspirational resonance. The Hurricane Helene community response demonstrates genuine social purpose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Bradford's resignation and four subsequent leadership realignments in September 2025 created significant organizational disruption [2]. However, the internal promotions (Vecchiarelli, Garrison, Monnig, Sudock) suggest bench depth and trust in existing talent.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CleanSpark competes with Marathon Digital, Riot Platforms, and Cipher Digital in Bitcoin mining, and now with data center operators in HPC/AI. The dual-track strategy of monetizing megawatts through both Bitcoin and AI shows awareness of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Bitcoin mining to a dual-track model integrating AI compute services represents meaningful existential flexibility [2]. CleanSpark's ability to rapidly deploy 100 MW mining facilities in six months versus three-six years for AI data centers creates strategic optionality.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Raising $1.15B in convertible notes to fund expansion, adding 300 MW in Texas, and announcing AI data center plans require conviction. However, the CEO transition and leadership realignment suggest internal uncertainty about strategic direction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CleanSpark is the largest self-operated Bitcoin miner with 1.8+ GW power portfolio, 13,363 BTC on balance sheet (~$1.3B), and a strategic pivot to AI/HPC data centers that could unlock billions in additional equity value [1]. The stock trades at 11.63x forward P/E (63% discount to peers) with fair value narratives suggesting $23.16 versus the current $9.40. CEO Schultz's argument that Bitcoin miners are uniquely positioned for the AI power war is validated by CleanSpark's rapid deployment capabilities and grid-stabilization expertise demonstrated during Hurricane Helene [2]. The 90%+ clean energy mix provides ESG credibility.</w:t>
      </w:r>
    </w:p>
    <w:p>
      <w:pPr>
        <w:spacing w:after="120"/>
      </w:pPr>
      <w:r>
        <w:rPr>
          <w:rFonts w:ascii="Calibri" w:hAnsi="Calibri"/>
          <w:b w:val="0"/>
          <w:color w:val="3A4A28"/>
          <w:sz w:val="20"/>
        </w:rPr>
        <w:t>The bear case is Bitcoin price dependence — with 5.5 beta, CLSK's stock amplifies Bitcoin volatility dramatically [1]. The $267M net loss and -38.3% FCF yield reflect a company consuming more cash than it generates. The $1.15B convertible notes create dilution overhang. The AI data center pivot is nascent with no revenue yet generated from HPC services. CEO Bradford's August 2025 resignation and subsequent leadership realignment raise governance concerns. The Altman Z-Score suggests financial distress risk, and Beneish M-Score raises accounting quality concerns [1]. If Bitcoin falls below $50K, the 13,363 BTC balance sheet asset could face significant impairment.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above $120K would significantly enhance the value of 13,363 BTC balance sheet holdings and mining revenue</w:t>
      </w:r>
    </w:p>
    <w:p>
      <w:pPr>
        <w:spacing w:before="40" w:after="40"/>
        <w:ind w:left="283"/>
      </w:pPr>
      <w:r>
        <w:rPr>
          <w:rFonts w:ascii="Calibri" w:hAnsi="Calibri"/>
          <w:b/>
          <w:color w:val="4A6B25"/>
          <w:sz w:val="20"/>
        </w:rPr>
        <w:t xml:space="preserve">2. </w:t>
      </w:r>
      <w:r>
        <w:rPr>
          <w:rFonts w:ascii="Calibri" w:hAnsi="Calibri"/>
          <w:b w:val="0"/>
          <w:color w:val="3A4A28"/>
          <w:sz w:val="20"/>
        </w:rPr>
        <w:t>AI data center revenue commencement from Texas 300 MW campus, demonstrating commercial viability of the dual-track strategy</w:t>
      </w:r>
    </w:p>
    <w:p>
      <w:pPr>
        <w:spacing w:before="40" w:after="40"/>
        <w:ind w:left="283"/>
      </w:pPr>
      <w:r>
        <w:rPr>
          <w:rFonts w:ascii="Calibri" w:hAnsi="Calibri"/>
          <w:b/>
          <w:color w:val="4A6B25"/>
          <w:sz w:val="20"/>
        </w:rPr>
        <w:t xml:space="preserve">3. </w:t>
      </w:r>
      <w:r>
        <w:rPr>
          <w:rFonts w:ascii="Calibri" w:hAnsi="Calibri"/>
          <w:b w:val="0"/>
          <w:color w:val="3A4A28"/>
          <w:sz w:val="20"/>
        </w:rPr>
        <w:t>Hashrate expansion beyond 50 EH/s and continued improvement in mining efficiency reducing per-BTC production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decline — 5.5 beta means a 20% BTC decline could translate to a 50%+ stock price drop, and 13,363 BTC holdings create concentrated exposure</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yield of -38.3% and $1.15B convertible notes create dilution and liquidity risk if BTC prices stagnate</w:t>
      </w:r>
    </w:p>
    <w:p>
      <w:pPr>
        <w:spacing w:before="40" w:after="40"/>
        <w:ind w:left="283"/>
      </w:pPr>
      <w:r>
        <w:rPr>
          <w:rFonts w:ascii="Calibri" w:hAnsi="Calibri"/>
          <w:b/>
          <w:color w:val="4A6B25"/>
          <w:sz w:val="20"/>
        </w:rPr>
        <w:t xml:space="preserve">3. </w:t>
      </w:r>
      <w:r>
        <w:rPr>
          <w:rFonts w:ascii="Calibri" w:hAnsi="Calibri"/>
          <w:b w:val="0"/>
          <w:color w:val="3A4A28"/>
          <w:sz w:val="20"/>
        </w:rPr>
        <w:t>AI data center pivot execution risk — converting mining infrastructure to HPC is unproven and competes against purpose-built data center operators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Bitcoin mining operations are physical-world data center businesses that AI cannot displace. CleanSpark's 1.8+ GW power portfolio provides unique optionality to serve either Bitcoin mining or AI compute workloads [2]. The company's energy management expertise and grid-stabilization capabilities (demonstrated during Hurricane Helene) create transferable value. AI Opportunity (1/1): The strategic pivot to AI/HPC represents direct upside — CEO Schultz argues Bitcoin miners are 'uniquely positioned to win the AI power war' due to existing power infrastructure and rapid deployment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CleanSpark Q1 FY2026 Earnings Release and February 2026 Operational Update</w:t>
      </w:r>
    </w:p>
    <w:p>
      <w:pPr>
        <w:spacing w:before="20" w:after="20"/>
        <w:ind w:left="170"/>
      </w:pPr>
      <w:r>
        <w:rPr>
          <w:rFonts w:ascii="Calibri" w:hAnsi="Calibri"/>
          <w:b/>
          <w:color w:val="4A6B25"/>
          <w:sz w:val="15"/>
        </w:rPr>
        <w:t xml:space="preserve">2. </w:t>
      </w:r>
      <w:r>
        <w:rPr>
          <w:rFonts w:ascii="Calibri" w:hAnsi="Calibri"/>
          <w:b w:val="0"/>
          <w:color w:val="3A4A28"/>
          <w:sz w:val="17"/>
        </w:rPr>
        <w:t>CleanSpark CEO Matt Schultz — CNBC interview on AI pivot and leadership realignment, October-September 2025</w:t>
      </w:r>
    </w:p>
    <w:p>
      <w:pPr>
        <w:spacing w:before="20" w:after="20"/>
        <w:ind w:left="170"/>
      </w:pPr>
      <w:r>
        <w:rPr>
          <w:rFonts w:ascii="Calibri" w:hAnsi="Calibri"/>
          <w:b/>
          <w:color w:val="4A6B25"/>
          <w:sz w:val="15"/>
        </w:rPr>
        <w:t xml:space="preserve">3. </w:t>
      </w:r>
      <w:r>
        <w:rPr>
          <w:rFonts w:ascii="Calibri" w:hAnsi="Calibri"/>
          <w:b w:val="0"/>
          <w:color w:val="3A4A28"/>
          <w:sz w:val="17"/>
        </w:rPr>
        <w:t>CleanSpark ESG and sustainability — Sustainalytics rating, Carbon Collective analysis, company ESG report,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CLSK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