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CLS</w:t>
      </w:r>
      <w:r>
        <w:rPr>
          <w:rFonts w:ascii="Calibri" w:hAnsi="Calibri"/>
          <w:b/>
          <w:color w:val="1A2010"/>
          <w:sz w:val="40"/>
        </w:rPr>
        <w:t xml:space="preserve">  Celestica Inc.</w:t>
      </w:r>
    </w:p>
    <w:p>
      <w:pPr>
        <w:spacing w:after="120"/>
      </w:pPr>
      <w:r>
        <w:rPr>
          <w:rFonts w:ascii="Calibri" w:hAnsi="Calibri"/>
          <w:b/>
          <w:color w:val="6E8450"/>
          <w:sz w:val="18"/>
        </w:rPr>
        <w:t>GROWTH SLEEVE · 2026-04-13 · Inspire: 0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Components · NYSE · Canada</w:t>
      </w:r>
    </w:p>
    <w:p>
      <w:pPr>
        <w:spacing w:after="80"/>
      </w:pPr>
      <w:r>
        <w:rPr>
          <w:rFonts w:ascii="Calibri" w:hAnsi="Calibri"/>
          <w:b w:val="0"/>
          <w:color w:val="3A4A28"/>
          <w:sz w:val="20"/>
        </w:rPr>
        <w:t>Celestica is a Toronto-headquartered design, manufacturing, hardware platform and supply chain solutions provider. It serves the Connectivity &amp; Cloud Solutions (CCS) segment with hyperscaler-driven AI/ML server, networking and storage hardware, plus the Advanced Technology Solutions (ATS) segment serving aerospace &amp; defense, industrial, capital equipment, and HealthTech end markets.</w:t>
      </w:r>
    </w:p>
    <w:p>
      <w:r>
        <w:rPr>
          <w:rFonts w:ascii="Calibri" w:hAnsi="Calibri"/>
          <w:b/>
          <w:color w:val="6E8450"/>
          <w:sz w:val="18"/>
        </w:rPr>
        <w:t>28,000 Employees · https://www.celestica.com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FY2025 revenue $12.39B (up 28% YoY) and Q4 2025 revenue $3.65B (up 44% YoY) demonstrate exceptional execution [1]. 2026 guidance was raised to $17.0B revenue (up 37%) with adjusted EPS of $8.75 (up 45%) [1]. Q1 2026 guide of $3.85-$4.15B revenue (+51% YoY at midpoint) confirms acceleration. AI Deployment (2/2): CCS hardware platform solutions revenue surged 79% YoY to $1.4B in Q3 2025 — directly riding the AI data center buildout for hyperscalers [1]. Celestica designs and manufactures custom AI server, networking, and storage hardware. Market Share (2/2): Leading EMS/ODM player for hyperscaler AI infrastructure with custom-design wins; competing successfully with peers like Hon Hai, Quanta, and Wistron. Pipeline (1/2): $1B 2026 capex (~6% of revenue) with further acceleration into 2027 supports custom AI hardware capacity expansion [1]. R&amp;D Intensity (0/1): As an EMS/ODM, Celestica's R&amp;D intensity is structurally lower than pure-play OEMs, but it is rising with the custom hardware mix shift.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Celestica's purpose to make a meaningful difference for customers, partners and communities through advanced manufacturing and supply chain solutions is product-grounded and credible [3]. Community Impact (2/2): 28,000 employees globally, SBTi-approved 1.5°C science-based emissions targets set in 2020, and Responsible Business Alliance (RBA) membership covering labor, environment, ethics, and supply chain responsibility [3]. Employee Retention (1/2): CEO Rob Mionis (10+ years tenure since August 2015) brings stability and Honeywell/StandardAero operating discipline [2]. Glassdoor data was not surfaced in the searches but no significant culture issues were flagged. Insider Buying (1/2): Long CEO tenure and consistent execution against ambitious guidance demonstrate management confidence; the 2025 Investor and Analyst Day reinforced long-term commitments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Celestica's financial profile is exceptional. FY2025 revenue grew 28% to $12.39B, and 2026 guidance of $17.0B implies 37% growth with 45% EPS growth to $8.75 [1]. Operating margin has expanded materially with the AI hardware mix shift. The 79% YoY surge in CCS hardware platform solutions to $1.4B [1] and Q1 2026 guide of +51% revenue growth confirm exceptional momentum. Forward P/E in the high-teens to low-twenties is reasonable for 37%+ revenue growth and 45%+ EPS growth. ROE has improved with margin expansion; D/E is modest. $1B 2026 capex (~6% of revenue) is supported by strong free cash flow generation [1]. Liquidity floor easily cleared.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Celestica under CEO Rob Mionis (10+ years) has executed a patient, decade-long pivot from low-margin contract manufacturing to high-value design/manufacturing for hyperscaler AI infrastructure and aerospace/defense — exactly the kind of multi-year transformation an infinite-game mindset enables.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Enabling the world's most critical AI, aerospace/defense, industrial, and HealthTech customers via design + manufacturing + supply chain is a credible enduring purpose [3], reinforced by SBTi 1.5°C-aligned emissions targets and RBA membership.</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Rob Mionis's 10+ year tenure and the consistent multi-quarter execution against rising guidance [1] suggest a high-trust operating culture. No significant culture-issue signals in the searches conducted.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Celestica competes against Hon Hai/Foxconn, Quanta, Wistron, Jabil, Flex, and Sanmina. Celestica's outperformance — 28% FY2025 growth, 37% 2026 guide, 79% YoY CCS hardware growth [1] — demonstrates rivalry-driven sharpening on custom AI design wins.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decade-long mix shift from low-margin EMS to ATS (aerospace/defense, industrial, HealthTech) and high-value AI hardware design is a successful existential pivot, with CCS hardware platform solutions now $1.4B per quarter and growing 79% [1].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$1B 2026 capex commitment (~6% of revenue) accelerated for AI demand [1] reflects courageous capital deployment ahead of demand, not waiting for orders to materialize before investing.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Celestica is one of the cleanest pure-play hyperscaler AI infrastructure beneficiaries in EMS/ODM. FY2025 revenue grew 28% to $12.39B, and 2026 guidance was raised to $17.0B revenue (+37%) and adjusted EPS of $8.75 (+45%) — with Q1 2026 guide of +51% YoY at midpoint confirming acceleration [1]. CCS hardware platform solutions revenue (custom AI servers, networking, storage for hyperscalers) surged 79% YoY to $1.4B in a single quarter [1]. CEO Rob Mionis's 10-year tenure and Honeywell/StandardAero operating discipline have transformed the company from low-margin contract manufacturing to high-value custom design + supply chain solutions. The $1B 2026 capex (~6% of revenue) accelerates AI hardware capacity ahead of demand. SBTi 1.5°C science-based emissions targets and RBA membership provide ESG credibility [3]. At a forward P/E in the low-20s for 37%+ revenue growth and 45%+ EPS growth, valuation remains reasonable.</w:t>
      </w:r>
    </w:p>
    <w:p>
      <w:pPr>
        <w:spacing w:after="120"/>
      </w:pPr>
      <w:r>
        <w:rPr>
          <w:rFonts w:ascii="Calibri" w:hAnsi="Calibri"/>
          <w:b w:val="0"/>
          <w:color w:val="3A4A28"/>
          <w:sz w:val="20"/>
        </w:rPr>
        <w:t>Risks center on AI capex cyclicality and customer concentration. EMS/ODMs are leverage plays on hyperscaler capex, and any pause in AI infrastructure spending (whether from a Big Tech reset, a model-efficiency breakthrough that reduces compute needs, or macro deceleration) would hit Celestica disproportionately. Customer concentration on a small number of hyperscalers (Meta, Google, Microsoft, Amazon) creates single-customer-loss risk; one design loss could materially impact growth. The high revenue growth rate (37% in 2026 guide) is unlikely to sustain at this level beyond 2027, and multiple compression is possible if growth normalizes. Margin expansion to date has been impressive but EMS economics remain structurally lower than pure-play hardware OEMs. Capex acceleration to $1B+ creates execution risk if the AI demand profile shifts.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revenue guide of $17.0B (+37%) and adjusted EPS of $8.75 (+45%), with Q1 2026 guide of +51% YoY at midpoint confirming AI-driven acceleration [1]</w:t>
      </w:r>
    </w:p>
    <w:p>
      <w:pPr>
        <w:spacing w:before="40" w:after="40"/>
        <w:ind w:left="283"/>
      </w:pPr>
      <w:r>
        <w:rPr>
          <w:rFonts w:ascii="Calibri" w:hAnsi="Calibri"/>
          <w:b/>
          <w:color w:val="4A6B25"/>
          <w:sz w:val="20"/>
        </w:rPr>
        <w:t xml:space="preserve">2. </w:t>
      </w:r>
      <w:r>
        <w:rPr>
          <w:rFonts w:ascii="Calibri" w:hAnsi="Calibri"/>
          <w:b w:val="0"/>
          <w:color w:val="3A4A28"/>
          <w:sz w:val="20"/>
        </w:rPr>
        <w:t>CCS hardware platform solutions (custom AI server/networking/storage) growing 79% YoY to $1.4B per quarter and supported by $1B 2026 capex expansion [1]</w:t>
      </w:r>
    </w:p>
    <w:p>
      <w:pPr>
        <w:spacing w:before="40" w:after="40"/>
        <w:ind w:left="283"/>
      </w:pPr>
      <w:r>
        <w:rPr>
          <w:rFonts w:ascii="Calibri" w:hAnsi="Calibri"/>
          <w:b/>
          <w:color w:val="4A6B25"/>
          <w:sz w:val="20"/>
        </w:rPr>
        <w:t xml:space="preserve">3. </w:t>
      </w:r>
      <w:r>
        <w:rPr>
          <w:rFonts w:ascii="Calibri" w:hAnsi="Calibri"/>
          <w:b w:val="0"/>
          <w:color w:val="3A4A28"/>
          <w:sz w:val="20"/>
        </w:rPr>
        <w:t>Continued hyperscaler AI capex tailwind and custom-design wins as AI/ML buildouts extend into 2026-2027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Hyperscaler capex cyclicality — any pause in AI infrastructure spending (model-efficiency breakthrough, Big Tech reset, macro slowdown) would hit Celestica disproportionately [1]</w:t>
      </w:r>
    </w:p>
    <w:p>
      <w:pPr>
        <w:spacing w:before="40" w:after="40"/>
        <w:ind w:left="283"/>
      </w:pPr>
      <w:r>
        <w:rPr>
          <w:rFonts w:ascii="Calibri" w:hAnsi="Calibri"/>
          <w:b/>
          <w:color w:val="4A6B25"/>
          <w:sz w:val="20"/>
        </w:rPr>
        <w:t xml:space="preserve">2. </w:t>
      </w:r>
      <w:r>
        <w:rPr>
          <w:rFonts w:ascii="Calibri" w:hAnsi="Calibri"/>
          <w:b w:val="0"/>
          <w:color w:val="3A4A28"/>
          <w:sz w:val="20"/>
        </w:rPr>
        <w:t>Customer concentration on a small number of hyperscalers creates single-customer-loss risk; one design loss could materially impact growth</w:t>
      </w:r>
    </w:p>
    <w:p>
      <w:pPr>
        <w:spacing w:before="40" w:after="40"/>
        <w:ind w:left="283"/>
      </w:pPr>
      <w:r>
        <w:rPr>
          <w:rFonts w:ascii="Calibri" w:hAnsi="Calibri"/>
          <w:b/>
          <w:color w:val="4A6B25"/>
          <w:sz w:val="20"/>
        </w:rPr>
        <w:t xml:space="preserve">3. </w:t>
      </w:r>
      <w:r>
        <w:rPr>
          <w:rFonts w:ascii="Calibri" w:hAnsi="Calibri"/>
          <w:b w:val="0"/>
          <w:color w:val="3A4A28"/>
          <w:sz w:val="20"/>
        </w:rPr>
        <w:t>Margin expansion sustainability — EMS/ODM economics remain structurally lower than OEMs, and the high 37% growth rate is unlikely to sustain beyond 2027, raising multiple-compression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Celestica is a direct beneficiary of the AI data center buildout, not a target of disruption. CCS hardware platform solutions revenue grew 79% YoY to $1.4B in Q3 2025 driven by hyperscaler AI server, networking, and storage demand [1]. The company designs and manufactures custom AI hardware for the world's largest cloud providers. AI Opportunity (1/1): 2026 revenue guide of $17.0B (+37%), Q1 2026 guide of +51% YoY, and $1B 2026 capex to expand AI hardware capacity all point to multi-year AI tailwind [1]. The custom-design approach captures higher value than pure contract manufacturing.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Celestica Q3 2025 / Q4 2025 / FY 2025 earnings releases and 2026 guidance (raised $17.0B revenue, $8.75 adj EPS); 2025 Investor and Analyst Day, October 2025 - January 2026</w:t>
      </w:r>
    </w:p>
    <w:p>
      <w:pPr>
        <w:spacing w:before="20" w:after="20"/>
        <w:ind w:left="170"/>
      </w:pPr>
      <w:r>
        <w:rPr>
          <w:rFonts w:ascii="Calibri" w:hAnsi="Calibri"/>
          <w:b/>
          <w:color w:val="4A6B25"/>
          <w:sz w:val="15"/>
        </w:rPr>
        <w:t xml:space="preserve">2. </w:t>
      </w:r>
      <w:r>
        <w:rPr>
          <w:rFonts w:ascii="Calibri" w:hAnsi="Calibri"/>
          <w:b w:val="0"/>
          <w:color w:val="3A4A28"/>
          <w:sz w:val="17"/>
        </w:rPr>
        <w:t>Celestica leadership and corporate communications — CEO Rob Mionis biography, Honeywell/StandardAero background, August 2015 appointment</w:t>
      </w:r>
    </w:p>
    <w:p>
      <w:pPr>
        <w:spacing w:before="20" w:after="20"/>
        <w:ind w:left="170"/>
      </w:pPr>
      <w:r>
        <w:rPr>
          <w:rFonts w:ascii="Calibri" w:hAnsi="Calibri"/>
          <w:b/>
          <w:color w:val="4A6B25"/>
          <w:sz w:val="15"/>
        </w:rPr>
        <w:t xml:space="preserve">3. </w:t>
      </w:r>
      <w:r>
        <w:rPr>
          <w:rFonts w:ascii="Calibri" w:hAnsi="Calibri"/>
          <w:b w:val="0"/>
          <w:color w:val="3A4A28"/>
          <w:sz w:val="17"/>
        </w:rPr>
        <w:t>Celestica 2024 Sustainability Report, SBTi 1.5°C science-based emissions targets (2020), Responsible Business Alliance (RBA) membership, IBM Envizi ESG suite</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