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CLX</w:t>
      </w:r>
      <w:r>
        <w:rPr>
          <w:rFonts w:ascii="Calibri" w:hAnsi="Calibri"/>
          <w:b/>
          <w:color w:val="1A2010"/>
          <w:sz w:val="40"/>
        </w:rPr>
        <w:t xml:space="preserve">  The Clorox Company</w:t>
      </w:r>
    </w:p>
    <w:p>
      <w:pPr>
        <w:spacing w:after="120"/>
      </w:pPr>
      <w:r>
        <w:rPr>
          <w:rFonts w:ascii="Calibri" w:hAnsi="Calibri"/>
          <w:b/>
          <w:color w:val="6E8450"/>
          <w:sz w:val="18"/>
        </w:rPr>
        <w:t>DIVIDEND SLEEVE · 2026-04-16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NYSE · United States</w:t>
      </w:r>
    </w:p>
    <w:p>
      <w:pPr>
        <w:spacing w:after="80"/>
      </w:pPr>
      <w:r>
        <w:rPr>
          <w:rFonts w:ascii="Calibri" w:hAnsi="Calibri"/>
          <w:b w:val="0"/>
          <w:color w:val="3A4A28"/>
          <w:sz w:val="20"/>
        </w:rPr>
        <w:t>The Clorox Company manufactures and markets consumer and professional products worldwide, including cleaning (Clorox, Pine-Sol), household (Glad, Kingsford), lifestyle (Burt's Bees, Brita), and international segments. The company holds #1 or #2 market share positions across most of its product categories.</w:t>
      </w:r>
    </w:p>
    <w:p>
      <w:r>
        <w:rPr>
          <w:rFonts w:ascii="Calibri" w:hAnsi="Calibri"/>
          <w:b/>
          <w:color w:val="6E8450"/>
          <w:sz w:val="18"/>
        </w:rPr>
        <w:t>7,600 Employees · https://www.thecloroxcompany.com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Clorox scores poorly on innovation despite its brand strength. The company's major multi-year ERP system migration has consumed management attention and disrupted shipments, contributing to organic sales declines of 3% in Q1 and 1% in Q2 FY2026 — an infrastructure project, not a product innovation [1][2]. No AI products shipping or measurable AI-driven cost savings reported (0 points). The company holds #1 or #2 positions in cleaning, trash bags, and charcoal but is losing market share sequentially in several categories (1 point) [2]. No specific next-gen product pipeline with launch dates discussed (0 points). R&amp;D spending is modest relative to peers, typical for a marketing-driven CPG company (0 points). One point for incremental product refreshes across the portfolio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Clorox's IGNITE strategy articulates a purpose around 'healthy lives, clean world, thriving communities' — clear and connected to the business but not deeply distinctive or transformative, earning a mission floor of 2 [5]. The company's ESG governance structure and community investment programs through the Clorox Company Foundation demonstrate organized charitable commitment, earning 1 point on community impact [5]. However, reports of department outsourcing, layoffs, and Glassdoor reviews noting 'company culture has completely shifted' suggest deteriorating employee experience (0 points) [3]. No evidence of meaningful net insider buying by executives in the last 12 months (0 points).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Clorox's infrastructure is anchored by its dividend tradition and reasonable forward valuation but severely undermined by extreme leverage. D/E of 9,191% reflects negative book equity from accumulated share buybacks, scoring 0 on that metric [4]. ROE of 9.9% is below the 15% target. Revenue declined 0.8% YoY with FY2026 guidance of -6% to -10% due to ERP transition disruption. Forward P/E of 15.3x is attractive. Profit margin of 11.2% is below the 20% target. The 80.5% payout ratio is elevated, but 40+ consecutive years of dividends paid and ~20 years of consecutive growth provide stability. Dividend growth has stagnated at approximately 0.7% 5-year CAGR.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Clorox operates with a mixed-to-finite mindset. The IGNITE strategy provides a genuine purpose framework, but execution has been dominated by ERP disruption, margin pressure, layoffs, and outsourcing that reflect short-term cost optimization over long-term capability building.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Clorox's IGNITE strategy around 'healthy lives, clean world, thriving communities' is a genuine, well-articulated cause that connects cleaning and wellness brands to a broader purpose, and the company's ESG governance structure demonstrates institutional commitment (2 points) [5]. However, it hasn't been truly tested through a crisis in a way that proves leadership would sacrifice earnings for the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a deteriorating culture: 'company culture has completely shifted' with departments being outsourced and layoffs reducing organizational trust [3]. The multi-year ERP migration has created operational chaos affecting shipments and inventory, eroding frontline confidence. CEO Linda Rendle's 66% approval rating is mediocre. Evidence of a low-trust environment under transformation strain (0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Clorox demonstrates awareness of competitive dynamics, with management acknowledging sequential market share losses and competitive pressures in trash bags and cat litter from rivals like SC Johnson and Church &amp; Dwight [2]. The company frames competition as motivation to improve execution and innovation rather than purely adversarial language (1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Clorox has not demonstrated transformative strategic flexibility. The company clings to its legacy cleaning, household, and lifestyle brand portfolio with no fundamental business model reinvention. The ERP migration is an operational modernization, not an existential pivot. The company has not entered entirely new markets or abandoned core businesses in service of a larger cause (0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investment decisions. The ERP migration was a necessary operational catch-up, not a bold strategic bet. Cost pressures have led to outsourcing and layoffs rather than investment in people and capabilities. FY2026 guidance of -6% to -10% sales decline was blamed on ERP transition rather than addressed through proactive reinvestment [1][2]. Leadership has not demonstrated willingness to sacrifice near-term earnings for long-term capability (0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Clorox at 15.3x forward earnings offers defensive exposure to essential household brands with #1 or #2 market positions and a 4.8% dividend yield supported by 40+ consecutive years of payments [1][4]. The ERP system migration — the primary driver of FY2026's 6-10% sales decline — is a transitory headwind with cost improvements expected by Q4 FY2026. Once the ERP disruption normalizes, the company's brand moats in cleaning, trash bags, and charcoal should support mid-single-digit organic growth recovery.</w:t>
      </w:r>
    </w:p>
    <w:p>
      <w:pPr>
        <w:spacing w:after="120"/>
      </w:pPr>
      <w:r>
        <w:rPr>
          <w:rFonts w:ascii="Calibri" w:hAnsi="Calibri"/>
          <w:b w:val="0"/>
          <w:color w:val="3A4A28"/>
          <w:sz w:val="20"/>
        </w:rPr>
        <w:t>The bear case centers on structural deterioration beneath the ERP narrative. D/E of 9,191% reflects negative book equity from decades of leveraged buybacks, leaving no balance sheet flexibility [4]. ROE of only 9.9% and profit margin of 11.2% are subpar for a premium household goods company. Market share losses in trash bags and cat litter to competitors like SC Johnson indicate brand erosion, not just ERP disruption [2]. The 80.5% payout ratio with near-zero dividend growth (0.7% 5-year CAGR) suggests the dividend is being sustained at the expense of reinvestment. Glassdoor reviews citing outsourcing, layoffs, and cultural deterioration raise concerns about long-term organizational capability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ERP system transition completion by Q4 FY2026 expected to normalize shipments and eliminate the 7-8 percentage point transitory sales headwind, enabling organic growth recovery in FY2027 [1]</w:t>
      </w:r>
    </w:p>
    <w:p>
      <w:pPr>
        <w:spacing w:before="40" w:after="40"/>
        <w:ind w:left="283"/>
      </w:pPr>
      <w:r>
        <w:rPr>
          <w:rFonts w:ascii="Calibri" w:hAnsi="Calibri"/>
          <w:b/>
          <w:color w:val="4A6B25"/>
          <w:sz w:val="20"/>
        </w:rPr>
        <w:t xml:space="preserve">2. </w:t>
      </w:r>
      <w:r>
        <w:rPr>
          <w:rFonts w:ascii="Calibri" w:hAnsi="Calibri"/>
          <w:b w:val="0"/>
          <w:color w:val="3A4A28"/>
          <w:sz w:val="20"/>
        </w:rPr>
        <w:t>Sequential improvement in market share trends across key categories, with management confident in competitive positioning once ERP-related supply disruptions resolve [2]</w:t>
      </w:r>
    </w:p>
    <w:p>
      <w:pPr>
        <w:spacing w:before="40" w:after="40"/>
        <w:ind w:left="283"/>
      </w:pPr>
      <w:r>
        <w:rPr>
          <w:rFonts w:ascii="Calibri" w:hAnsi="Calibri"/>
          <w:b/>
          <w:color w:val="4A6B25"/>
          <w:sz w:val="20"/>
        </w:rPr>
        <w:t xml:space="preserve">3. </w:t>
      </w:r>
      <w:r>
        <w:rPr>
          <w:rFonts w:ascii="Calibri" w:hAnsi="Calibri"/>
          <w:b w:val="0"/>
          <w:color w:val="3A4A28"/>
          <w:sz w:val="20"/>
        </w:rPr>
        <w:t>Cost savings from supply chain modernization and potential gross margin expansion as higher input costs moderate, supporting earnings recovery toward normalized $7+ EPS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Market share losses in trash bags (Glad) and cat litter (Fresh Step) may be structural competitive erosion from private label and rivals like SC Johnson, not merely ERP-related disruption [2]</w:t>
      </w:r>
    </w:p>
    <w:p>
      <w:pPr>
        <w:spacing w:before="40" w:after="40"/>
        <w:ind w:left="283"/>
      </w:pPr>
      <w:r>
        <w:rPr>
          <w:rFonts w:ascii="Calibri" w:hAnsi="Calibri"/>
          <w:b/>
          <w:color w:val="4A6B25"/>
          <w:sz w:val="20"/>
        </w:rPr>
        <w:t xml:space="preserve">2. </w:t>
      </w:r>
      <w:r>
        <w:rPr>
          <w:rFonts w:ascii="Calibri" w:hAnsi="Calibri"/>
          <w:b w:val="0"/>
          <w:color w:val="3A4A28"/>
          <w:sz w:val="20"/>
        </w:rPr>
        <w:t>D/E of 9,191% and negative book equity leave zero balance sheet cushion for economic downturns, acquisitions, or unexpected costs — any earnings miss could pressure the dividend [4]</w:t>
      </w:r>
    </w:p>
    <w:p>
      <w:pPr>
        <w:spacing w:before="40" w:after="40"/>
        <w:ind w:left="283"/>
      </w:pPr>
      <w:r>
        <w:rPr>
          <w:rFonts w:ascii="Calibri" w:hAnsi="Calibri"/>
          <w:b/>
          <w:color w:val="4A6B25"/>
          <w:sz w:val="20"/>
        </w:rPr>
        <w:t xml:space="preserve">3. </w:t>
      </w:r>
      <w:r>
        <w:rPr>
          <w:rFonts w:ascii="Calibri" w:hAnsi="Calibri"/>
          <w:b w:val="0"/>
          <w:color w:val="3A4A28"/>
          <w:sz w:val="20"/>
        </w:rPr>
        <w:t>FY2026 guidance of -6% to -10% sales decline may understate the duration of ERP disruption if retailer inventory drawdowns extend into FY2027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Clorox manufactures physical household cleaning products, charcoal, trash bags, and water filtration systems — categories that AI structurally cannot displace [1]. Consumers will continue purchasing Clorox bleach, Glad bags, and Pine-Sol regardless of AI advancement. The core business involves chemical manufacturing, physical distribution, and retail shelf placement, all immune to AI substitution (8 points risk protection). CEO Linda Rendle has discussed AI readiness for internal operations, but no quantifiable AI revenue exists (0 points AI opportunity) [3]. AI may modestly enhance supply chain efficiency and consumer analytics but poses zero threat to the fundamental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Clorox Q1 FY2026 Earnings Release, October 2025</w:t>
      </w:r>
    </w:p>
    <w:p>
      <w:pPr>
        <w:spacing w:before="20" w:after="20"/>
        <w:ind w:left="170"/>
      </w:pPr>
      <w:r>
        <w:rPr>
          <w:rFonts w:ascii="Calibri" w:hAnsi="Calibri"/>
          <w:b/>
          <w:color w:val="4A6B25"/>
          <w:sz w:val="15"/>
        </w:rPr>
        <w:t xml:space="preserve">2. </w:t>
      </w:r>
      <w:r>
        <w:rPr>
          <w:rFonts w:ascii="Calibri" w:hAnsi="Calibri"/>
          <w:b w:val="0"/>
          <w:color w:val="3A4A28"/>
          <w:sz w:val="17"/>
        </w:rPr>
        <w:t>Clorox Q2 FY2026 Earnings Release and Call Highlights, February 2026</w:t>
      </w:r>
    </w:p>
    <w:p>
      <w:pPr>
        <w:spacing w:before="20" w:after="20"/>
        <w:ind w:left="170"/>
      </w:pPr>
      <w:r>
        <w:rPr>
          <w:rFonts w:ascii="Calibri" w:hAnsi="Calibri"/>
          <w:b/>
          <w:color w:val="4A6B25"/>
          <w:sz w:val="15"/>
        </w:rPr>
        <w:t xml:space="preserve">3. </w:t>
      </w:r>
      <w:r>
        <w:rPr>
          <w:rFonts w:ascii="Calibri" w:hAnsi="Calibri"/>
          <w:b w:val="0"/>
          <w:color w:val="3A4A28"/>
          <w:sz w:val="17"/>
        </w:rPr>
        <w:t>Clorox Glassdoor Employee Reviews,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CLX key statistics,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The Clorox Company ESG and Corporate Responsibility,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