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CL</w:t>
      </w:r>
      <w:r>
        <w:rPr>
          <w:rFonts w:ascii="Calibri" w:hAnsi="Calibri"/>
          <w:b/>
          <w:color w:val="1A2010"/>
          <w:sz w:val="40"/>
        </w:rPr>
        <w:t xml:space="preserve">  Colgate-Palmolive Company</w:t>
      </w:r>
    </w:p>
    <w:p>
      <w:pPr>
        <w:spacing w:after="120"/>
      </w:pPr>
      <w:r>
        <w:rPr>
          <w:rFonts w:ascii="Calibri" w:hAnsi="Calibri"/>
          <w:b/>
          <w:color w:val="6E8450"/>
          <w:sz w:val="18"/>
        </w:rPr>
        <w:t>DIVIDEND SLEEVE · 2026-04-01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Household &amp; Personal Products · NYSE · United States</w:t>
      </w:r>
    </w:p>
    <w:p>
      <w:pPr>
        <w:spacing w:after="80"/>
      </w:pPr>
      <w:r>
        <w:rPr>
          <w:rFonts w:ascii="Calibri" w:hAnsi="Calibri"/>
          <w:b w:val="0"/>
          <w:color w:val="3A4A28"/>
          <w:sz w:val="20"/>
        </w:rPr>
        <w:t>Colgate-Palmolive is a 220-year-old global consumer products company with operations in over 200 countries. The company holds the #1 worldwide market share in toothpaste and manual toothbrushes, and also competes in home care, personal care, skin health, and pet nutrition through brands including Colgate, Palmolive, Hill's Pet Nutrition, Ajax, and Meridol.</w:t>
      </w:r>
    </w:p>
    <w:p>
      <w:r>
        <w:rPr>
          <w:rFonts w:ascii="Calibri" w:hAnsi="Calibri"/>
          <w:b/>
          <w:color w:val="6E8450"/>
          <w:sz w:val="18"/>
        </w:rPr>
        <w:t>33,600 Employees · https://www.colgatepalmolive.com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Colgate-Palmolive has grown revenue from $16.5B to $20.4B over five years through pricing power and the Hill's Pet Nutrition business, but has not executed a transformative pivot or launched a breakthrough new product category [1]. The skin health acquisition resulted in goodwill impairment charges in 2025, signaling a misstep. AI Deployment (2/2): Colgate-Palmolive is a genuine AI leader among CPG companies — deploying GenAI for promotion optimization replacing manual spreadsheets, consumer insight synthesis with RAG-augmented proprietary data, and content generation that doubled consumer engagement rates [2]. The company trained 14,000 employees on AI principles and created a bespoke data literacy academy with CEO Wallace personally participating [2]. Market Share (2/2): Colgate holds #1 worldwide market share in toothpaste (~40% global share) and manual toothbrushes, with leading positions across 200+ countries [1]. Hill's is the veterinarian-recommended #1 pet nutrition brand. Pipeline (1/2): The 2030 strategic plan led by new Chief Growth Officer John Hazlin and new CTO Stephan Habif (from L'Oreal) provides organizational structure for innovation, but specific next-generation products with launch dates are not publicly disclosed [2]. R&amp;D Intensity (0/1): R&amp;D spending is at industry average for consumer products companies.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Colgate-Palmolive's purpose — 'Reimagining a healthier future for all people, their pets and our planet' — is specific and connects oral health, pet nutrition, and sustainability to a larger vision. It is better than generic but not yet transformative — the 220-year history provides validation, though the purpose has been recently articulated rather than serving as a multi-decade strategic compass. Community Impact (1/2): Colgate supports oral health education programs globally (Bright Smiles, Bright Futures reaching 1.5 billion children since 1991) and has sustainability commitments including zero-waste-to-landfill factories. These are meaningful but standard for a company of this size. Employee Retention (1/2): CEO Noel Wallace joined Colgate in 1987 and has served 39 years, exemplifying the promote-from-within culture. The 14,000-employee AI training program suggests investment in workforce development [2]. However, no specific low-turnover metrics are publicly available. Insider Buying (0/2): No meaningful net insider buying by CEO or executives identified in recent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Colgate-Palmolive's infrastructure scoring is dragged down by its capital structure. D/E of 2,343.6% reflects negative shareholders' equity from decades of aggressive share buybacks rather than operational distress, but it scores 0 mechanically on this metric [3]. ROE of 5.0% is distorted by the same negative equity issue and scores poorly (0.33/1.0). Forward P/E of 20.6x nearly hits the 20x target (0.98/1.0). Revenue growth is weak: 1.4% YoY and 4.4% 5-year CAGR, both well below the 10% target [1]. Profit margin of 10.5% is below the 20% target, partly due to 2025 impairment charges. The dividend profile is strong: 60+ consecutive years of payments and increases (Dividend King), but the 78.3% payout ratio is elevated and 3.6% 5-year dividend growth CAGR lags the 6% target [3]. Liquidity floor cleared: $85.31 x 7.13M avg volume = $608M daily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Colgate-Palmolive's 220-year history and 60+ consecutive years of dividend increases demonstrate extraordinary institutional endurance. CEO Wallace's AI transformation initiative and the articulated purpose of reimagining a healthier future show genuine long-term thinking. However, slow organic growth, a costly skin health acquisition misstep, and conservative competitive positioning suggest a company more focused on protecting its franchise than advancing a bold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Colgate-Palmolive's purpose — 'Reimagining a healthier future for all people, their pets and our planet' — is genuine and connects oral health, pet nutrition, and sustainability to a larger vision. The Bright Smiles, Bright Futures program (1.5 billion children reached since 1991) validates the oral health mission with decades of consistent execution [1]. However, this is a relatively recent articulation of purpose, and strategic decisions (the failed skin health acquisition, aggressive buybacks depleting equity) don't consistently trace back to the stated cause. Score: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Wallace's 39-year tenure at Colgate and the promote-from-within culture signal organizational trust and continuity. The AI training initiative for 14,000 employees — with the CEO personally participating — demonstrates investment in workforce capability and signals that leadership trusts employees with transformative tools [2]. The hire of external leaders (CTO from L'Oreal, COO from Danone) shows openness. However, the company's 33,600 employees operate in a traditional CPG hierarchy. Score: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Colgate-Palmolive operates in a constructive competitive dynamic with P&amp;G and Unilever, using each rival's strengths to improve its own offerings. CEO Wallace's language focuses on 'winning' in markets but through innovation and capability building rather than competitor destruction [2]. The hire of executives from L'Oreal and Danone shows willingness to learn from rivals' talent. Score: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Over 220 years, Colgate-Palmolive has evolved from a soap and candle shop to a $20B+ global consumer products company, expanding into oral care, pet nutrition, and skin health [1]. The entry into pet nutrition (Hill's) was a genuine strategic pivot. However, the recent skin health impairment charges suggest the latest strategic expansion was not successful, and the core business model of manufacturing and distributing branded household products has remained fundamentally unchanged.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Wallace invested in a company-wide AI transformation during a period of modest growth, training 14,000 employees and embedding AI across marketing and operations [2]. The willingness to take impairment charges on the skin health business rather than propping it up shows financial discipline. However, Colgate's conservative growth profile (1.4% organic sales growth) and cautious strategic positioning suggest optimization for stability over bold long-term bets.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Colgate-Palmolive is a 220-year-old global franchise with #1 worldwide market share in toothpaste (~40%) and manual toothbrushes, generating $20.4B in annual revenue across 200+ countries [1]. The company is a Dividend King with 60+ consecutive years of dividend increases, offering a 2.5% yield and defensive positioning in consumer staples [3]. Forward P/E of 20.6x is reasonable for a stable compounder, and analysts forecast 11.5% EPS growth and 3.3% revenue growth annually through 2028 [1]. The AI transformation under CEO Wallace — training 14,000 employees, deploying GenAI for promotion optimization and content generation — positions Colgate as a digital leader among CPG peers and could drive margin expansion [2]. Hill's Pet Nutrition remains a high-growth, high-margin segment benefiting from pet humanization trends.</w:t>
      </w:r>
    </w:p>
    <w:p>
      <w:pPr>
        <w:spacing w:after="120"/>
      </w:pPr>
      <w:r>
        <w:rPr>
          <w:rFonts w:ascii="Calibri" w:hAnsi="Calibri"/>
          <w:b w:val="0"/>
          <w:color w:val="3A4A28"/>
          <w:sz w:val="20"/>
        </w:rPr>
        <w:t>The bear case centers on structural slow growth, capital structure, and failed strategic bets. Organic sales grew just 1.4% in 2025, and GAAP EPS declined 25% due to skin health impairment charges — signaling that the most recent acquisition-led growth strategy failed [1]. D/E of 2,343% (from aggressive buybacks creating negative equity) limits financial flexibility and inflates perceived leverage risk. The 78.3% payout ratio leaves little room for dividend growth acceleration, and the 3.6% 5-year dividend growth CAGR barely keeps pace with inflation despite the Dividend King status. Profit margin of 10.5% is below peers, and revenue growth of 4.4% CAGR over five years lags category leaders. Emerging market currency volatility (Colgate generates ~70% of revenue outside the US) creates ongoing earnings translation headwinds. The toothpaste category is mature with limited volume growth potential, making Colgate increasingly dependent on pricing power that may face consumer pushback.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transformation driving margin expansion through promotion optimization, GenAI-powered consumer insights, and content generation that doubled engagement rates — with 14,000 employees trained in AI principles [2]</w:t>
      </w:r>
    </w:p>
    <w:p>
      <w:pPr>
        <w:spacing w:before="40" w:after="40"/>
        <w:ind w:left="283"/>
      </w:pPr>
      <w:r>
        <w:rPr>
          <w:rFonts w:ascii="Calibri" w:hAnsi="Calibri"/>
          <w:b/>
          <w:color w:val="4A6B25"/>
          <w:sz w:val="20"/>
        </w:rPr>
        <w:t xml:space="preserve">2. </w:t>
      </w:r>
      <w:r>
        <w:rPr>
          <w:rFonts w:ascii="Calibri" w:hAnsi="Calibri"/>
          <w:b w:val="0"/>
          <w:color w:val="3A4A28"/>
          <w:sz w:val="20"/>
        </w:rPr>
        <w:t>Hill's Pet Nutrition continued growth benefiting from pet humanization trends and veterinarian-channel leadership, providing high-margin revenue diversification [1]</w:t>
      </w:r>
    </w:p>
    <w:p>
      <w:pPr>
        <w:spacing w:before="40" w:after="40"/>
        <w:ind w:left="283"/>
      </w:pPr>
      <w:r>
        <w:rPr>
          <w:rFonts w:ascii="Calibri" w:hAnsi="Calibri"/>
          <w:b/>
          <w:color w:val="4A6B25"/>
          <w:sz w:val="20"/>
        </w:rPr>
        <w:t xml:space="preserve">3. </w:t>
      </w:r>
      <w:r>
        <w:rPr>
          <w:rFonts w:ascii="Calibri" w:hAnsi="Calibri"/>
          <w:b w:val="0"/>
          <w:color w:val="3A4A28"/>
          <w:sz w:val="20"/>
        </w:rPr>
        <w:t>2030 strategic plan execution under new Chief Growth Officer John Hazlin and CTO Stephan Habif (from L'Oreal), restructuring the organization for innovation-led growth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slow growth — organic sales grew just 1.4% in 2025 and 5-year revenue CAGR of 4.4% lags inflation plus population growth, suggesting the core oral care portfolio is mature [1]</w:t>
      </w:r>
    </w:p>
    <w:p>
      <w:pPr>
        <w:spacing w:before="40" w:after="40"/>
        <w:ind w:left="283"/>
      </w:pPr>
      <w:r>
        <w:rPr>
          <w:rFonts w:ascii="Calibri" w:hAnsi="Calibri"/>
          <w:b/>
          <w:color w:val="4A6B25"/>
          <w:sz w:val="20"/>
        </w:rPr>
        <w:t xml:space="preserve">2. </w:t>
      </w:r>
      <w:r>
        <w:rPr>
          <w:rFonts w:ascii="Calibri" w:hAnsi="Calibri"/>
          <w:b w:val="0"/>
          <w:color w:val="3A4A28"/>
          <w:sz w:val="20"/>
        </w:rPr>
        <w:t>Capital structure risk — D/E of 2,343% from buyback-driven negative equity limits financial flexibility and could constrain M&amp;A capacity needed to drive inorganic growth [3]</w:t>
      </w:r>
    </w:p>
    <w:p>
      <w:pPr>
        <w:spacing w:before="40" w:after="40"/>
        <w:ind w:left="283"/>
      </w:pPr>
      <w:r>
        <w:rPr>
          <w:rFonts w:ascii="Calibri" w:hAnsi="Calibri"/>
          <w:b/>
          <w:color w:val="4A6B25"/>
          <w:sz w:val="20"/>
        </w:rPr>
        <w:t xml:space="preserve">3. </w:t>
      </w:r>
      <w:r>
        <w:rPr>
          <w:rFonts w:ascii="Calibri" w:hAnsi="Calibri"/>
          <w:b w:val="0"/>
          <w:color w:val="3A4A28"/>
          <w:sz w:val="20"/>
        </w:rPr>
        <w:t>Emerging market currency exposure — ~70% of revenue generated outside the US subjects earnings to translation headwinds from dollar strength and volatile EM currencies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Colgate-Palmolive's core products — toothpaste, soap, laundry detergent, pet food — are physical consumer necessities that AI cannot substitute. Global oral care demand is driven by population growth and hygiene awareness, not knowledge work. The company's distribution network across 200+ countries, brand recognition built over 220 years, and relationships with veterinarians (Hill's) and dentists (Colgate) create defensive moats AI does not threaten [1]. AI Opportunity (0/1): While Colgate is a CPG AI leader deploying GenAI for promotion optimization, content generation, and consumer insights, these are internal efficiency tools — the company does not sell AI products or generate AI-attributed revenue from customers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Colgate-Palmolive Q4 2025 and Full-Year 2025 Earnings Release — $20.4B revenue, GAAP EPS decline 25%, organic sales growth 1.4%, January 2026</w:t>
      </w:r>
    </w:p>
    <w:p>
      <w:pPr>
        <w:spacing w:before="20" w:after="20"/>
        <w:ind w:left="170"/>
      </w:pPr>
      <w:r>
        <w:rPr>
          <w:rFonts w:ascii="Calibri" w:hAnsi="Calibri"/>
          <w:b/>
          <w:color w:val="4A6B25"/>
          <w:sz w:val="15"/>
        </w:rPr>
        <w:t xml:space="preserve">2. </w:t>
      </w:r>
      <w:r>
        <w:rPr>
          <w:rFonts w:ascii="Calibri" w:hAnsi="Calibri"/>
          <w:b w:val="0"/>
          <w:color w:val="3A4A28"/>
          <w:sz w:val="17"/>
        </w:rPr>
        <w:t>MIT Sloan Management Review, Diginomica, CIO Dive — Colgate-Palmolive AI strategy: GenAI for innovation, 14,000 employees trained, CEO Wallace AI commentary, 2024-2026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CL (Colgate-Palmolive), retrieved April 1, 2026</w:t>
      </w:r>
    </w:p>
    <w:p>
      <w:pPr>
        <w:spacing w:before="20" w:after="20"/>
        <w:ind w:left="170"/>
      </w:pPr>
      <w:r>
        <w:rPr>
          <w:rFonts w:ascii="Calibri" w:hAnsi="Calibri"/>
          <w:b/>
          <w:color w:val="4A6B25"/>
          <w:sz w:val="15"/>
        </w:rPr>
        <w:t xml:space="preserve">4. </w:t>
      </w:r>
      <w:r>
        <w:rPr>
          <w:rFonts w:ascii="Calibri" w:hAnsi="Calibri"/>
          <w:b w:val="0"/>
          <w:color w:val="3A4A28"/>
          <w:sz w:val="17"/>
        </w:rPr>
        <w:t>Colgate-Palmolive Investor Relations — 2030 strategic plan, leadership appointments, May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