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CMBT</w:t>
      </w:r>
      <w:r>
        <w:rPr>
          <w:rFonts w:ascii="Calibri" w:hAnsi="Calibri"/>
          <w:b/>
          <w:color w:val="1A2010"/>
          <w:sz w:val="40"/>
        </w:rPr>
        <w:t xml:space="preserve">  CMB.TECH NV</w:t>
      </w:r>
    </w:p>
    <w:p>
      <w:pPr>
        <w:spacing w:after="120"/>
      </w:pPr>
      <w:r>
        <w:rPr>
          <w:rFonts w:ascii="Calibri" w:hAnsi="Calibri"/>
          <w:b/>
          <w:color w:val="6E8450"/>
          <w:sz w:val="18"/>
        </w:rPr>
        <w:t>GROWTH SLEEVE · 2026-04-16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Midstream · NYSE · Belgium</w:t>
      </w:r>
    </w:p>
    <w:p>
      <w:pPr>
        <w:spacing w:after="80"/>
      </w:pPr>
      <w:r>
        <w:rPr>
          <w:rFonts w:ascii="Calibri" w:hAnsi="Calibri"/>
          <w:b w:val="0"/>
          <w:color w:val="3A4A28"/>
          <w:sz w:val="20"/>
        </w:rPr>
        <w:t>CMB.TECH NV is a diversified maritime group operating approximately 250 vessels across crude oil tankers (Euronav brand), dry bulk carriers (Bocimar), chemical tankers, container ships, offshore wind support vessels, and port vessels. The company also develops green hydrogen and ammonia infrastructure for maritime decarbonization, including dual-fuel ammonia-powered vessels and green molecule supply chains. Formerly known as Euronav NV, the company rebranded in October 2024.</w:t>
      </w:r>
    </w:p>
    <w:p>
      <w:r>
        <w:rPr>
          <w:rFonts w:ascii="Calibri" w:hAnsi="Calibri"/>
          <w:b/>
          <w:color w:val="6E8450"/>
          <w:sz w:val="18"/>
        </w:rPr>
        <w:t>https://www.cmb.tech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CMB.TECH executed a transformative acquisition of the original CMB.TECH hydrogen business by Euronav, rebranding the combined entity in October 2024 and pivoting a traditional tanker company toward maritime decarbonization [1]. The fleet expanded to ~250 vessels with 80+ hydrogen- and ammonia-ready ships. AI Deployment (0/2): No evidence of AI-powered products or measurable AI-driven cost savings in operations. The maritime industry remains largely traditional in technology adoption. Market Share (1/2): CMB.TECH operates one of the world's largest crude oil tanker fleets and is a pioneer in ammonia-powered shipping, but faces competition from larger groups like Frontline and International Seaways in tankers [1]. Pipeline (1/2): Nine ammonia-powered Newcastlemax bulkers and container vessels on order with dual-fuel diesel-ammonia engines, representing the next generation of green shipping [1]. However, commercial viability of ammonia fuel remains unproven at scale. R&amp;D Intensity (1/1): Significant investment in hydrogen and ammonia infrastructure through the H2 Infra and H2 Industry divisions, above industry average for shipping companies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CEO Alexander Saverys articulates a distinctive mission: 'We want to prove to the world that we can decarbonise today to navigate tomorrow' [2]. This connects the company's maritime heritage to a genuine environmental purpose and differentiates CMB.TECH from peers. The mission is specific and thoughtful, though it has not been validated over decades. Community Impact (0/2): No evidence of significant charitable programs or community investment beyond standard corporate operations. Employee Retention (1/2): Family-controlled company (Saverys family) with Alexander Saverys serving as CEO since 2014, providing leadership continuity. No specific employee retention data available, but stable leadership suggests organizational consistency [2]. Insider Buying (1/2): The Saverys family controls approximately 88.6% of shares through Compagnie Maritime Belge, representing massive insider ownership that aligns management with long-term value creation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CMB.TECH benefits from exceptional revenue growth — TTM revenue of $1.67B represents 160.6% YoY growth and a 4-year CAGR of approximately 41% driven by the Euronav/CMB.TECH combination and strong tanker rates [4]. Forward P/E of 10.3x is attractive, reflecting the cyclical nature of shipping but also asset-backed earnings. However, D/E of 212% is elevated (typical for asset-heavy shipping) and ROE of 7.3% is below target [4]. Profit margin of 9.7% includes significant capital gains from vessel sales — the company booked $192.6M in vessel sale gains in 2025 and announced $269.3M in Q1 2026 [1]. Contract backlog of $3.05B provides revenue visibility. Liquidity floor cleared: 1.9M avg volume x $13.11 = $25.2M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CMB.TECH demonstrates meaningful infinite game characteristics through its generational maritime heritage and bold bet on hydrogen/ammonia decarbonization. The Saverys family has operated in maritime shipping for over a century, providing multi-generational continuity rare in public markets. However, the company simultaneously operates one of the world's largest crude oil tanker fleets while marketing itself as a decarbonization leader, creating tension between current profit and stated purpose.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CMB.TECH's stated cause — proving the maritime industry can decarbonize today — is genuine and distinctive, backed by real investment in ammonia-powered vessels and hydrogen infrastructure [2]. However, the cause is partially contradicted by the company's core revenue source: transporting crude oil via Euronav's VLCC fleet. The tension between decarbonization mission and fossil fuel transport revenue suggests the cause is partially lived but not yet fully validated (2 pts).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Family-controlled structure under Alexander Saverys (CEO since 2014) provides leadership continuity and organizational stability [2]. The multi-brand structure (Euronav, Bocimar, Windcat, etc.) suggests empowered business units. However, no specific employee sentiment or retention data is available, and the aggressive acquisition of Euronav in 2023 faced legal challenges from minority shareholders, suggesting some stakeholder friction [3] (1 pt).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CMB.TECH frames its competitive positioning in terms of building the future of maritime shipping rather than destroying rivals. The company acknowledges the scale of competitors like Frontline and focuses on differentiating through hydrogen/ammonia technology rather than market share warfare [2] (1 pt).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acquisition of CMB.TECH's hydrogen business and rebrand from Euronav represents meaningful strategic evolution from a pure-play tanker company to a diversified maritime group with a decarbonization thesis [1]. However, this pivot is incremental rather than transformative — crude oil tankers remain the core revenue driver, and the hydrogen business is still pre-profit. The company has not yet abandoned a profitable legacy business in service of the cause (1 pt).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$1.15B acquisition of CMB.TECH's hydrogen business and subsequent rebrand represented a courageous bet on maritime decarbonization when green hydrogen economics were unproven [1]. Ordering nine ammonia-powered vessels before ammonia bunkering infrastructure exists requires conviction. However, the timing was opportunistic — strong tanker rates funded the investment — rather than sacrificing near-term profitability (1 pt).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CMB.TECH is a uniquely positioned maritime conglomerate operating ~250 vessels across tankers, bulkers, containers, and offshore wind, with a pioneering hydrogen/ammonia infrastructure division. TTM revenue surged 160.6% to $1.67B, driven by the Euronav combination and strong tanker rates [1]. The company booked $192.6M in vessel sale capital gains in 2025 and announced $269.3M more in Q1 2026, monetizing peak tanker values [1]. Contract backlog of $3.05B provides multi-year revenue visibility. At a forward P/E of 10.3x with 88.6% insider ownership by the Saverys family, the stock is cheaply valued with aligned management [3][4]. The green hydrogen/ammonia strategy positions CMB.TECH for the maritime energy transition, with 80+ hydrogen-ready vessels and ammonia-powered ships on order.</w:t>
      </w:r>
    </w:p>
    <w:p>
      <w:pPr>
        <w:spacing w:after="120"/>
      </w:pPr>
      <w:r>
        <w:rPr>
          <w:rFonts w:ascii="Calibri" w:hAnsi="Calibri"/>
          <w:b w:val="0"/>
          <w:color w:val="3A4A28"/>
          <w:sz w:val="20"/>
        </w:rPr>
        <w:t>The bear case centers on shipping cyclicality, leverage, and hydrogen viability. D/E of 212% is significantly elevated even by shipping standards, creating vulnerability in a tanker rate downturn [4]. Profit margin of 9.7% is heavily reliant on vessel sale gains rather than recurring operating income — Q4 2025 profit of $90.1M included significant asset sales [1]. Earnings declined 35.3% YoY as the fleet-expansion acquisition costs flowed through. The green hydrogen business is pre-profit and faces fundamental economic challenges — ammonia fuel costs remain 3-5x higher than traditional bunker fuel, and ammonia bunkering infrastructure is virtually nonexistent globally. The Bocimar subsidiary faces legal scrutiny over ship scrapping practices in Bangladesh, including a worker fatality [3]. ROE of 7.3% is below cost of equity for a capital-intensive shipping business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Delivery of ammonia-powered Newcastlemax bulkers in 2026-2027, proving commercial viability of dual-fuel ammonia shipping and establishing first-mover advantage [1]</w:t>
      </w:r>
    </w:p>
    <w:p>
      <w:pPr>
        <w:spacing w:before="40" w:after="40"/>
        <w:ind w:left="283"/>
      </w:pPr>
      <w:r>
        <w:rPr>
          <w:rFonts w:ascii="Calibri" w:hAnsi="Calibri"/>
          <w:b/>
          <w:color w:val="4A6B25"/>
          <w:sz w:val="20"/>
        </w:rPr>
        <w:t xml:space="preserve">2. </w:t>
      </w:r>
      <w:r>
        <w:rPr>
          <w:rFonts w:ascii="Calibri" w:hAnsi="Calibri"/>
          <w:b w:val="0"/>
          <w:color w:val="3A4A28"/>
          <w:sz w:val="20"/>
        </w:rPr>
        <w:t>Continued vessel sale program monetizing peak tanker values — $269.3M in Q1 2026 capital gains already announced, with potential for further fleet rationalization [1]</w:t>
      </w:r>
    </w:p>
    <w:p>
      <w:pPr>
        <w:spacing w:before="40" w:after="40"/>
        <w:ind w:left="283"/>
      </w:pPr>
      <w:r>
        <w:rPr>
          <w:rFonts w:ascii="Calibri" w:hAnsi="Calibri"/>
          <w:b/>
          <w:color w:val="4A6B25"/>
          <w:sz w:val="20"/>
        </w:rPr>
        <w:t xml:space="preserve">3. </w:t>
      </w:r>
      <w:r>
        <w:rPr>
          <w:rFonts w:ascii="Calibri" w:hAnsi="Calibri"/>
          <w:b w:val="0"/>
          <w:color w:val="3A4A28"/>
          <w:sz w:val="20"/>
        </w:rPr>
        <w:t>IMO 2030 greenhouse gas regulations tightening, potentially advantaging CMB.TECH's ammonia-ready fleet versus competitors with conventional vessels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Tanker rate cyclical downturn — crude oil tanker rates are near cyclical highs and a correction would pressure the Euronav division that generates the majority of operating income [1]</w:t>
      </w:r>
    </w:p>
    <w:p>
      <w:pPr>
        <w:spacing w:before="40" w:after="40"/>
        <w:ind w:left="283"/>
      </w:pPr>
      <w:r>
        <w:rPr>
          <w:rFonts w:ascii="Calibri" w:hAnsi="Calibri"/>
          <w:b/>
          <w:color w:val="4A6B25"/>
          <w:sz w:val="20"/>
        </w:rPr>
        <w:t xml:space="preserve">2. </w:t>
      </w:r>
      <w:r>
        <w:rPr>
          <w:rFonts w:ascii="Calibri" w:hAnsi="Calibri"/>
          <w:b w:val="0"/>
          <w:color w:val="3A4A28"/>
          <w:sz w:val="20"/>
        </w:rPr>
        <w:t>Hydrogen/ammonia economics remain unproven at scale — ammonia fuel costs 3-5x conventional bunker fuel, and bunkering infrastructure is virtually nonexistent, creating execution risk on the decarbonization thesis</w:t>
      </w:r>
    </w:p>
    <w:p>
      <w:pPr>
        <w:spacing w:before="40" w:after="40"/>
        <w:ind w:left="283"/>
      </w:pPr>
      <w:r>
        <w:rPr>
          <w:rFonts w:ascii="Calibri" w:hAnsi="Calibri"/>
          <w:b/>
          <w:color w:val="4A6B25"/>
          <w:sz w:val="20"/>
        </w:rPr>
        <w:t xml:space="preserve">3. </w:t>
      </w:r>
      <w:r>
        <w:rPr>
          <w:rFonts w:ascii="Calibri" w:hAnsi="Calibri"/>
          <w:b w:val="0"/>
          <w:color w:val="3A4A28"/>
          <w:sz w:val="20"/>
        </w:rPr>
        <w:t>Elevated leverage with D/E of 212% and $1.4B bridge loan recently repaid creates financial vulnerability if asset values decline or rates weaken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Maritime shipping is a physical-world business that AI structurally cannot displace — moving crude oil, bulk commodities, and containers across oceans requires vessels, port infrastructure, and logistics that are immune to AI substitution [2]. CMB.TECH's fleet of 250 vessels, port operations, and hydrogen infrastructure are capital-intensive physical assets that benefit from high barriers to entry. AI may improve route optimization and predictive maintenance, but this enhances rather than threatens the core business. The green hydrogen/ammonia infrastructure buildout is equally AI-immune — producing and distributing hydrogen molecules is a physical-chemical process. AI Opportunity (0/1): No evidence of AI-derived revenue. CMB.TECH does not sell AI products or services, and maritime AI applications remain nascent within the company.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CMB.TECH Q4 2025 Results — $90.1M profit, $322.1M EBITDA, fleet sales and Q1 2026 capital gains announcement, March 2026</w:t>
      </w:r>
    </w:p>
    <w:p>
      <w:pPr>
        <w:spacing w:before="20" w:after="20"/>
        <w:ind w:left="170"/>
      </w:pPr>
      <w:r>
        <w:rPr>
          <w:rFonts w:ascii="Calibri" w:hAnsi="Calibri"/>
          <w:b/>
          <w:color w:val="4A6B25"/>
          <w:sz w:val="15"/>
        </w:rPr>
        <w:t xml:space="preserve">2. </w:t>
      </w:r>
      <w:r>
        <w:rPr>
          <w:rFonts w:ascii="Calibri" w:hAnsi="Calibri"/>
          <w:b w:val="0"/>
          <w:color w:val="3A4A28"/>
          <w:sz w:val="17"/>
        </w:rPr>
        <w:t>CMB.TECH corporate website — About CMB.TECH, sustainability strategy, management board, hydrogen/ammonia initiatives</w:t>
      </w:r>
    </w:p>
    <w:p>
      <w:pPr>
        <w:spacing w:before="20" w:after="20"/>
        <w:ind w:left="170"/>
      </w:pPr>
      <w:r>
        <w:rPr>
          <w:rFonts w:ascii="Calibri" w:hAnsi="Calibri"/>
          <w:b/>
          <w:color w:val="4A6B25"/>
          <w:sz w:val="15"/>
        </w:rPr>
        <w:t xml:space="preserve">3. </w:t>
      </w:r>
      <w:r>
        <w:rPr>
          <w:rFonts w:ascii="Calibri" w:hAnsi="Calibri"/>
          <w:b w:val="0"/>
          <w:color w:val="3A4A28"/>
          <w:sz w:val="17"/>
        </w:rPr>
        <w:t>Seatrade Maritime, Ship Breaking Platform — Euronav/CMB acquisition, Bocimar ESG controversies, shareholder disputes</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CMBT (CMB.TECH NV),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