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CMCT</w:t>
      </w:r>
      <w:r>
        <w:rPr>
          <w:rFonts w:ascii="Calibri" w:hAnsi="Calibri"/>
          <w:b/>
          <w:color w:val="1A2010"/>
          <w:sz w:val="40"/>
        </w:rPr>
        <w:t xml:space="preserve">  Creative Media &amp; Community Trust Corporation</w:t>
      </w:r>
    </w:p>
    <w:p>
      <w:pPr>
        <w:spacing w:after="120"/>
      </w:pPr>
      <w:r>
        <w:rPr>
          <w:rFonts w:ascii="Calibri" w:hAnsi="Calibri"/>
          <w:b/>
          <w:color w:val="6E8450"/>
          <w:sz w:val="18"/>
        </w:rPr>
        <w:t>GROWTH SLEEVE · 2026-03-30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NASDAQ · United States</w:t>
      </w:r>
    </w:p>
    <w:p>
      <w:pPr>
        <w:spacing w:after="80"/>
      </w:pPr>
      <w:r>
        <w:rPr>
          <w:rFonts w:ascii="Calibri" w:hAnsi="Calibri"/>
          <w:b w:val="0"/>
          <w:color w:val="3A4A28"/>
          <w:sz w:val="20"/>
        </w:rPr>
        <w:t>Creative Media &amp; Community Trust Corporation is a Maryland REIT that acquires, develops, owns, and operates premier multifamily properties and Class A creative office assets in vibrant U.S. communities. Managed by CIM Group, the company targets markets with technology, media, and entertainment employment growth.</w:t>
      </w:r>
    </w:p>
    <w:p>
      <w:r>
        <w:rPr>
          <w:rFonts w:ascii="Calibri" w:hAnsi="Calibri"/>
          <w:b/>
          <w:color w:val="6E8450"/>
          <w:sz w:val="18"/>
        </w:rPr>
        <w:t>50 Employees · https://www.creativemediacommunity.com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CMCT operates in traditional office and multifamily real estate with no meaningful innovation differentiation. The company is pivoting from office toward multifamily — completing a 36-unit Echo Park building — but this is a defensive repositioning rather than innovation [1][3]. The sale of its lending division to Peachtree Group for $44.9M in January 2026 simplifies the business but further narrows the company's capabilities [1]. No AI deployment, no proprietary technology platform, and no R&amp;D pipeline — CMCT is entirely dependent on CIM Group's operational expertise for any competitive edge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CMCT's mission of creating 'vibrant communities' through real estate is undercut by CIM Group's well-documented tenant controversies — including eviction notices during the pandemic moratorium at Southern Towers (Alexandria, VA), unresolved mold and pest issues affecting predominantly African immigrant families, and displacement of residents in West Adams, Los Angeles [4]. PESP documented significant discrepancies between CIM's ESG report claims and actual tenant treatment [4]. Leadership turnover (CFO Barry Berlin replaced by Brandon Hill in January 2026) and a micro-cap market position offer little inspirational pull for employees or investors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(598,076) × stock_price ($0.59) = $352,865, well below the $1,000,000 threshold [2]. Underlying fundamentals are severely distressed: Q4 2025 loss of $17.7M ($11.20/share), full-year 2025 revenue declined 8.7% to $112.9M, office occupancy at just 68.1%, and a 1-for-10 reverse stock split effective March 2026 signals desperation [1][2]. Negative profit margin (-34.5%), negative ROE (-13.3%), D/E of 191.5%, and forward P/E of -0.24 paint a picture of a company in severe financial distress [2]. The preferred stock redemption converting shares to common stock should improve FFO by ~$16M/year but massively dilutes existing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CMCT displays predominantly finite game characteristics — the company is in survival mode, selling assets, executing reverse stock splits, and converting preferred to common stock to shore up liquidity rather than investing for long-term growth. CIM Group's documented tenant mistreatment contradicts any long-term community-building narrative [1][4].</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CMCT's stated mission of building 'vibrant communities' rings hollow when CIM Group, its manager, has been documented by PESP as displacing low-income tenants at Southern Towers and in West Adams while using ESG reports as 'a public relations strategy' [4]. The gap between stated purpose and observed behavior is among the widest in this screening. The company's current focus appears to be balance sheet survival rather than community impact.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CFO turnover in January 2026 (Barry Berlin replaced by Brandon Hill during the lending division sale), a micro-cap stock price of $0.59, reverse stock split, and massive preferred-to-common conversion create a chaotic environment for the small workforce [1][3]. CIM Group's underperformance across its last four real estate funds (bottom quartile returns) suggests systemic management issues that likely affect CMCT's team confidence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CMCT competes against far larger, better-capitalized office and multifamily REITs. With a market cap under $16M, 68.1% office occupancy, and 85.3% multifamily occupancy, the company is not meaningfully competitive in either segment [1]. The pivot to multifamily is strategic but lacks the scale to compete with purpose-built multifamily REITs.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sale of the lending division, preferred stock redemption, and pivot toward multifamily demonstrate some willingness to adapt the business model [1]. However, these moves appear driven by financial necessity rather than strategic vision. The reverse stock split and sub-$1 share price suggest the company is fighting to maintain its Nasdaq listing rather than making visionary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CIM Group's documented pattern of deflecting tenant complaints, issuing eviction notices during pandemic moratoriums, and using ESG commitments as 'a marketing gimmick' (per PESP analysis) demonstrates a fundamental lack of ethical leadership courage [4]. The 432 Park Avenue construction defect lawsuit in New York, where CIM dismissed 1,500 construction problems as an 'ill-advised' lawsuit, further undermines leadership credibility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Creative Media &amp; Community Trust is a severely distressed micro-cap REIT trading at $0.59/share with a market cap under $16M, triggered by declining office occupancy (68.1%), revenue contraction (-8.7% in 2025), and sustained net losses ($17.7M in Q4 2025 alone) [1][2]. The company has executed a 1-for-10 reverse stock split and is converting preferred shares to common stock to improve FFO by ~$16M/year, but at the cost of massive common equity dilution [1].</w:t>
      </w:r>
    </w:p>
    <w:p>
      <w:pPr>
        <w:spacing w:after="120"/>
      </w:pPr>
      <w:r>
        <w:rPr>
          <w:rFonts w:ascii="Calibri" w:hAnsi="Calibri"/>
          <w:b w:val="0"/>
          <w:color w:val="3A4A28"/>
          <w:sz w:val="20"/>
        </w:rPr>
        <w:t>The lending division sale ($44.9M to Peachtree Group) and multifamily pivot provide a strategic direction, but CMCT lacks the scale, capital, and market position to execute a meaningful turnaround [1]. CIM Group's management track record — including bottom-quartile fund returns across its last four real estate funds and documented tenant mistreatment controversies — provides little confidence in operational improvement [4]. The liquidity floor is triggered (daily dollar volume ~$353K), making this position effectively illiquid for institutional investors. This is a speculative turnaround story with significant downside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Preferred stock redemption improving FFO by approximately $16M annually, potentially moving toward FFO breakeven if office occupancy stabilizes [1]</w:t>
      </w:r>
    </w:p>
    <w:p>
      <w:pPr>
        <w:spacing w:before="40" w:after="40"/>
        <w:ind w:left="283"/>
      </w:pPr>
      <w:r>
        <w:rPr>
          <w:rFonts w:ascii="Calibri" w:hAnsi="Calibri"/>
          <w:b/>
          <w:color w:val="4A6B25"/>
          <w:sz w:val="20"/>
        </w:rPr>
        <w:t xml:space="preserve">2. </w:t>
      </w:r>
      <w:r>
        <w:rPr>
          <w:rFonts w:ascii="Calibri" w:hAnsi="Calibri"/>
          <w:b w:val="0"/>
          <w:color w:val="3A4A28"/>
          <w:sz w:val="20"/>
        </w:rPr>
        <w:t>Multifamily portfolio expansion (85.3% occupied, new Echo Park completion) in markets with favorable demographic trends could drive organic growth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from the $44.9M lending division sale proceeds and simplified corporate structure could attract value-oriented investors if execution improves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triggered — daily dollar volume of ~$353K makes positions effectively illiquid and vulnerable to large price swings on minimal volume [2]</w:t>
      </w:r>
    </w:p>
    <w:p>
      <w:pPr>
        <w:spacing w:before="40" w:after="40"/>
        <w:ind w:left="283"/>
      </w:pPr>
      <w:r>
        <w:rPr>
          <w:rFonts w:ascii="Calibri" w:hAnsi="Calibri"/>
          <w:b/>
          <w:color w:val="4A6B25"/>
          <w:sz w:val="20"/>
        </w:rPr>
        <w:t xml:space="preserve">2. </w:t>
      </w:r>
      <w:r>
        <w:rPr>
          <w:rFonts w:ascii="Calibri" w:hAnsi="Calibri"/>
          <w:b w:val="0"/>
          <w:color w:val="3A4A28"/>
          <w:sz w:val="20"/>
        </w:rPr>
        <w:t>Office occupancy of 68.1% in a secular work-from-home trend could deteriorate further, requiring write-downs on the 1.3 million sq ft office portfolio [1]</w:t>
      </w:r>
    </w:p>
    <w:p>
      <w:pPr>
        <w:spacing w:before="40" w:after="40"/>
        <w:ind w:left="283"/>
      </w:pPr>
      <w:r>
        <w:rPr>
          <w:rFonts w:ascii="Calibri" w:hAnsi="Calibri"/>
          <w:b/>
          <w:color w:val="4A6B25"/>
          <w:sz w:val="20"/>
        </w:rPr>
        <w:t xml:space="preserve">3. </w:t>
      </w:r>
      <w:r>
        <w:rPr>
          <w:rFonts w:ascii="Calibri" w:hAnsi="Calibri"/>
          <w:b w:val="0"/>
          <w:color w:val="3A4A28"/>
          <w:sz w:val="20"/>
        </w:rPr>
        <w:t>CIM Group management controversies (tenant displacement, ESG misrepresentation, bottom-quartile fund performance) create ongoing reputational and operational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a moderate indirect threat to CMCT through its potential to reduce office space demand as remote work and AI-augmented productivity enable smaller corporate footprints — a trend already evident in CMCT's 68.1% office occupancy [1]. The company's pivot toward multifamily provides some insulation, as residential demand is less AI-sensitive. AI-driven property management tools (smart building systems, predictive maintenance, automated leasing) could benefit operations, but CMCT's scale is too small to invest meaningfully in these technologies independently — the company relies entirely on CIM Group's technology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CMCT Q4 2025 Earnings Snapshot — WTOP News; Lending Division Sale and Preferred Stock Redemption Press Releases, January-March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CMCT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CMCT Corporate Website; CIM Group Leadership; DCFmodeling.com Company Profile,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Private Equity Stakeholder Project — 'The fallacy behind CIM Group's commitment to ESG'; 'CIM underperforms peers'; 432 Park Avenue lawsuit; Southern Towers tenant issues,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