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CMC</w:t>
      </w:r>
      <w:r>
        <w:rPr>
          <w:rFonts w:ascii="Calibri" w:hAnsi="Calibri"/>
          <w:b/>
          <w:color w:val="1A2010"/>
          <w:sz w:val="40"/>
        </w:rPr>
        <w:t xml:space="preserve">  Commercial Metals Company</w:t>
      </w:r>
    </w:p>
    <w:p>
      <w:pPr>
        <w:spacing w:after="120"/>
      </w:pPr>
      <w:r>
        <w:rPr>
          <w:rFonts w:ascii="Calibri" w:hAnsi="Calibri"/>
          <w:b/>
          <w:color w:val="6E8450"/>
          <w:sz w:val="18"/>
        </w:rPr>
        <w:t>GROWTH SLEEVE · 2026-04-30 · Inspire: 55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Metal Fabrication · NYSE · United States</w:t>
      </w:r>
    </w:p>
    <w:p>
      <w:pPr>
        <w:spacing w:after="80"/>
      </w:pPr>
      <w:r>
        <w:rPr>
          <w:rFonts w:ascii="Calibri" w:hAnsi="Calibri"/>
          <w:b w:val="0"/>
          <w:color w:val="3A4A28"/>
          <w:sz w:val="20"/>
        </w:rPr>
        <w:t>Commercial Metals Company manufactures, recycles, and fabricates steel and metal products through three segments: North America Steel Group, Europe Steel Group, and Emerging Businesses Group. Founded in 1915 and headquartered in Irving, Texas, CMC operates electric arc furnace mini mills, fabrication facilities, and recently expanded into precast concrete through its $2.5B acquisition of CP&amp;P and Foley Products.</w:t>
      </w:r>
    </w:p>
    <w:p>
      <w:r>
        <w:rPr>
          <w:rFonts w:ascii="Calibri" w:hAnsi="Calibri"/>
          <w:b/>
          <w:color w:val="6E8450"/>
          <w:sz w:val="18"/>
        </w:rPr>
        <w:t>12,690 Employees · https://www.cmc.com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CMC's $2.5B acquisition of CP&amp;P and Foley Products (closed December 2025) represents a significant strategic pivot into precast concrete, opening a new revenue stream expected to generate $165-175M in annual EBITDA [1]. The company also rebranded from 'Commercial Metals Company' to 'CMC' to reflect its expansion beyond metals. AI Deployment (1/2): CMC has invested in cloud platforms and AI-driven optimization through SAP S/4 HANA, Microsoft Azure, and operational technology for predictive maintenance and quality control, but no specific AI-driven revenue or quantified savings have been reported [2]. Market Share (1/2): CMC is the largest rebar producer in North America and a leading scrap recycler, with meaningful market position but not category dominance in the broader steel market [1]. Pipeline (1/2): The precast concrete platform creates visible near-term revenue growth, and the TAG (Transform, Advance, Grow) cost optimization program launched in 2024 provides operational improvement pipeline [3]. R&amp;D Intensity (1/1): CMC's investment in electric arc furnace micro mill technology and Construction Solutions represents above-average capital intensity for the steel/metals sector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CMC's purpose centers on providing sustainable construction solutions and recycling steel — clear and relevant to infrastructure development, but not distinctive beyond what any steel company might articulate [3]. The rebrand to 'CMC' with expanded scope beyond metals suggests evolving intentionality. Community Impact (1/2): CMC was named to Corporate Knights' 2026 Global 100 Most Sustainable Corporations, and the company's electric arc furnace model uses 95%+ recycled scrap, providing genuine environmental benefit [3]. Employee Retention (1/2): Glassdoor rating of 3.8/5 with a generally positive culture description emphasizing safety and teamwork, though Comparably scores leadership in the bottom 45% for companies with 10,000+ employees [2]. Insider Buying (1/2): No significant net insider buying identified in recent months; CEO Peter Matt took over in September 2023 and has been building his equity position, but no exceptional insider conviction evident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CMC's infrastructure profile reflects a company in transition — the CP&amp;P acquisition has dramatically improved near-term growth metrics but burdened the balance sheet [1]. Revenue growth of 21.5% YoY is strong, driven by the acquisition and $147/ton steel margin improvement, earning a 1.0 score. Forward P/E of 9.75x is attractive at 1.0. However, 3-year revenue CAGR of -4.4% reflects the steel cycle downturn from FY2022-FY2025 peaks, scoring just 0.04 [4]. D/E of 81.6% (scoring 0.95) increased from the $2.5B acquisition. ROE of 12.0% (scoring 0.80) is below the 15% target. Profit margin of 6.0% (scoring 0.30) is thin for a capital-intensive manufacturer. PEG of 13.13 is distorted by the cycle trough and scores 0. Growth stock weighted sum: 4.93/10 = 4.9, rounded to 5. Liquidity easily cleared at $79M daily dollar volume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CMC demonstrates genuine long-term thinking through its 111-year operating history, strategic expansion into precast concrete, and commitment to sustainable steel production via electric arc furnace recycling. However, the cyclical nature of the steel business and the aggressive $2.5B acquisition create finite-game pressures around near-term earnings and debt management.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CMC's evolution from a pure steel recycler to a diversified construction solutions provider, validated by 111 years of continuous operation since 1915, demonstrates enduring purpose [3]. The electric arc furnace model — recycling 95%+ scrap metal — connects daily operations to sustainability in a tangible way. The cause is genuine but hasn't been articulated as a transformative vision distinct from peer companies. Scores 2/3 on the weighted scale.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rating of 3.8/5 with employees praising the safety-first culture and teamwork suggests adequate organizational trust [2]. However, Comparably ranks CMC leadership in the bottom 45% of similarly-sized companies, and the CEO transition from Barbara Smith to Peter Matt in 2023 creates some leadership continuity questions. The people-first culture described by employees is a positive signal. Scores 1/2 on the weighted scale.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CMC's response to the Pacific Steel Group antitrust lawsuit — where a jury found CMC secured anti-competitive agreements blocking micro mill construction — reveals a complicated competitive stance [3]. However, the company's expansion into precast concrete alongside steel suggests willingness to learn from construction industry dynamics rather than purely defending steel market share. Scores 1/1 on the weighted scale.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$2.5B acquisition of CP&amp;P and Foley Products represents a meaningful strategic pivot from pure steel manufacturing into precast concrete, diversifying CMC's construction solutions platform [1]. This is the company's largest transformation in its 111-year history and demonstrates willingness to evolve. However, the pivot is adjacent rather than transformative — still construction materials. Scores 1/2 on the weighted scale.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Peter Matt's decision to pursue the $2.5B CP&amp;P acquisition — the company's largest-ever deal — within his first two years as CEO demonstrates willingness to make bold strategic bets [1]. The TAG cost optimization program and continued investment in micro mill technology during cyclical downturns show long-term orientation. However, the acquisition was partly debt-funded, creating near-term earnings pressure. Scores 1/2 on the weighted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Commercial Metals Company is executing a transformative expansion into precast concrete through its $2.5B CP&amp;P acquisition (closed December 2025), which contributed to Q2 FY2026 revenue of $2.13B and core EBITDA of $297.5M — a 114% YoY increase [1]. The precast platform is expected to reach $165-175M in annual EBITDA, complementing CMC's position as North America's largest rebar producer. At 9.75x forward P/E with EPS expected to reach $6.84, the stock trades at a significant discount to industrials peers. North America Steel Group adjusted EBITDA surged 96.9% YoY on $147/ton metal margin improvement, and the TAG cost optimization program provides additional margin upside. CMC's 111-year operating history and 40+ consecutive years of dividend payments demonstrate durability through multiple steel cycles [4].</w:t>
      </w:r>
    </w:p>
    <w:p>
      <w:pPr>
        <w:spacing w:after="120"/>
      </w:pPr>
      <w:r>
        <w:rPr>
          <w:rFonts w:ascii="Calibri" w:hAnsi="Calibri"/>
          <w:b w:val="0"/>
          <w:color w:val="3A4A28"/>
          <w:sz w:val="20"/>
        </w:rPr>
        <w:t>The bear case centers on cyclicality, leverage, and legal risk. The 3-year revenue CAGR of -4.4% reveals that recent growth is largely acquisition-driven rather than organic — stripping out CP&amp;P, the core steel business faces normalized demand after post-pandemic infrastructure spending peaks. D/E of 81.6% has increased substantially from the $2.5B acquisition, constraining financial flexibility. Profit margin of 6.0% is thin for a company carrying this much debt, and steel margins are inherently cyclical — the $147/ton improvement that drove Q2 results could reverse. The $110M antitrust verdict (trebled as a matter of law) from the Pacific Steel Group lawsuit creates material legal liability [3]. PEG ratio of 13.13 suggests the market expects minimal sustainable earnings growth beyond the acquisition boost.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CP&amp;P precast concrete platform reaching $165-175M annual EBITDA run rate as integration completes through FY2026, diversifying CMC beyond cyclical steel [1]</w:t>
      </w:r>
    </w:p>
    <w:p>
      <w:pPr>
        <w:spacing w:before="40" w:after="40"/>
        <w:ind w:left="283"/>
      </w:pPr>
      <w:r>
        <w:rPr>
          <w:rFonts w:ascii="Calibri" w:hAnsi="Calibri"/>
          <w:b/>
          <w:color w:val="4A6B25"/>
          <w:sz w:val="20"/>
        </w:rPr>
        <w:t xml:space="preserve">2. </w:t>
      </w:r>
      <w:r>
        <w:rPr>
          <w:rFonts w:ascii="Calibri" w:hAnsi="Calibri"/>
          <w:b w:val="0"/>
          <w:color w:val="3A4A28"/>
          <w:sz w:val="20"/>
        </w:rPr>
        <w:t>TAG (Transform, Advance, Grow) cost optimization program targeting lower input costs, logistics optimization, and energy efficiency gains across all operations [3]</w:t>
      </w:r>
    </w:p>
    <w:p>
      <w:pPr>
        <w:spacing w:before="40" w:after="40"/>
        <w:ind w:left="283"/>
      </w:pPr>
      <w:r>
        <w:rPr>
          <w:rFonts w:ascii="Calibri" w:hAnsi="Calibri"/>
          <w:b/>
          <w:color w:val="4A6B25"/>
          <w:sz w:val="20"/>
        </w:rPr>
        <w:t xml:space="preserve">3. </w:t>
      </w:r>
      <w:r>
        <w:rPr>
          <w:rFonts w:ascii="Calibri" w:hAnsi="Calibri"/>
          <w:b w:val="0"/>
          <w:color w:val="3A4A28"/>
          <w:sz w:val="20"/>
        </w:rPr>
        <w:t>North America infrastructure spending from IIJA and reshoring trends providing multi-year demand tailwind for rebar, structural steel, and precast concrete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Steel price cyclicality — the $147/ton metal margin improvement driving Q2 2026 results could reverse in a downturn, compressing the 6.0% profit margin further [1]</w:t>
      </w:r>
    </w:p>
    <w:p>
      <w:pPr>
        <w:spacing w:before="40" w:after="40"/>
        <w:ind w:left="283"/>
      </w:pPr>
      <w:r>
        <w:rPr>
          <w:rFonts w:ascii="Calibri" w:hAnsi="Calibri"/>
          <w:b/>
          <w:color w:val="4A6B25"/>
          <w:sz w:val="20"/>
        </w:rPr>
        <w:t xml:space="preserve">2. </w:t>
      </w:r>
      <w:r>
        <w:rPr>
          <w:rFonts w:ascii="Calibri" w:hAnsi="Calibri"/>
          <w:b w:val="0"/>
          <w:color w:val="3A4A28"/>
          <w:sz w:val="20"/>
        </w:rPr>
        <w:t>Pacific Steel Group antitrust verdict of $110M (trebled) creates material legal liability and reputational risk around competitive practices [3]</w:t>
      </w:r>
    </w:p>
    <w:p>
      <w:pPr>
        <w:spacing w:before="40" w:after="40"/>
        <w:ind w:left="283"/>
      </w:pPr>
      <w:r>
        <w:rPr>
          <w:rFonts w:ascii="Calibri" w:hAnsi="Calibri"/>
          <w:b/>
          <w:color w:val="4A6B25"/>
          <w:sz w:val="20"/>
        </w:rPr>
        <w:t xml:space="preserve">3. </w:t>
      </w:r>
      <w:r>
        <w:rPr>
          <w:rFonts w:ascii="Calibri" w:hAnsi="Calibri"/>
          <w:b w:val="0"/>
          <w:color w:val="3A4A28"/>
          <w:sz w:val="20"/>
        </w:rPr>
        <w:t>Integration risk from the $2.5B CP&amp;P acquisition — largest deal in CMC's 111-year history — with increased leverage and execution uncertainty on achieving projected synergies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Steel manufacturing, scrap recycling, and rebar fabrication are physical-world operations that AI cannot replace — molten metal, electric arc furnaces, and construction-site delivery require capital-intensive infrastructure and physical processes [2]. AI actually enhances CMC's operations through predictive maintenance, quality control, and supply chain optimization rather than threatening the business model. The construction infrastructure end market is immune to AI substitution. However, AI-driven demand forecasting could increase price transparency and compress margins in commodity steel, providing some exposure [2]. AI Opportunity (0/1): CMC has adopted AI-adjacent platforms (SAP S/4 HANA, Azure) for internal optimization but generates no revenue from AI products or services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Commercial Metals Company Q2 FY2026 Earnings Release — $2.13B revenue, $297.5M core EBITDA, 114% YoY growth, March 2026</w:t>
      </w:r>
    </w:p>
    <w:p>
      <w:pPr>
        <w:spacing w:before="20" w:after="20"/>
        <w:ind w:left="170"/>
      </w:pPr>
      <w:r>
        <w:rPr>
          <w:rFonts w:ascii="Calibri" w:hAnsi="Calibri"/>
          <w:b/>
          <w:color w:val="4A6B25"/>
          <w:sz w:val="15"/>
        </w:rPr>
        <w:t xml:space="preserve">2. </w:t>
      </w:r>
      <w:r>
        <w:rPr>
          <w:rFonts w:ascii="Calibri" w:hAnsi="Calibri"/>
          <w:b w:val="0"/>
          <w:color w:val="3A4A28"/>
          <w:sz w:val="17"/>
        </w:rPr>
        <w:t>CMC Digital Transformation, Glassdoor Reviews, and AI Industry Analysis —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CMC 2024 Sustainability Report, Corporate Knights Global 100, and Pacific Steel Group Litigation — 2024-2026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CMC (Commercial Metals Company), retrieved April 30,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