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CME</w:t>
      </w:r>
      <w:r>
        <w:rPr>
          <w:rFonts w:ascii="Calibri" w:hAnsi="Calibri"/>
          <w:b/>
          <w:color w:val="1A2010"/>
          <w:sz w:val="40"/>
        </w:rPr>
        <w:t xml:space="preserve">  CME Group Inc.</w:t>
      </w:r>
    </w:p>
    <w:p>
      <w:pPr>
        <w:spacing w:after="120"/>
      </w:pPr>
      <w:r>
        <w:rPr>
          <w:rFonts w:ascii="Calibri" w:hAnsi="Calibri"/>
          <w:b/>
          <w:color w:val="6E8450"/>
          <w:sz w:val="18"/>
        </w:rPr>
        <w:t>GROWTH SLEEVE · 2026-04-16 · Inspire: -49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70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Financial Data &amp; Stock Exchanges · NASDAQ · United States</w:t>
      </w:r>
    </w:p>
    <w:p>
      <w:pPr>
        <w:spacing w:after="80"/>
      </w:pPr>
      <w:r>
        <w:rPr>
          <w:rFonts w:ascii="Calibri" w:hAnsi="Calibri"/>
          <w:b w:val="0"/>
          <w:color w:val="3A4A28"/>
          <w:sz w:val="20"/>
        </w:rPr>
        <w:t>CME Group Inc. operates the world's largest derivatives marketplace, offering futures and options products across interest rates, equity indexes, foreign exchange, agricultural commodities, energy, and metals. The company also provides market data services, clearing, and settlement through its CME Clearinghouse.</w:t>
      </w:r>
    </w:p>
    <w:p>
      <w:r>
        <w:rPr>
          <w:rFonts w:ascii="Calibri" w:hAnsi="Calibri"/>
          <w:b/>
          <w:color w:val="6E8450"/>
          <w:sz w:val="18"/>
        </w:rPr>
        <w:t>3,875 Employees · https://www.cmegroup.com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CME achieved its fourth consecutive year of record revenue in 2025, but the business model has been fundamentally unchanged — the company operates regulated derivatives exchanges with incremental product additions rather than transformative launches [1]. Market data revenue hit a record $800M (up 13%), representing a meaningful growth vector but not a new business model. AI Deployment (1/2): CME appointed a Chief Strategy &amp; Transformation Officer responsible for driving AI model adoption and is migrating infrastructure to Google Cloud, but no specific AI-powered products or quantified AI revenue/savings have been disclosed [2]. Market Share (2/2): CME is the undisputed global leader in exchange-traded derivatives with 28.1M average daily volume in 2025, dominating interest rate futures (Treasuries, Eurodollars), equity index futures (S&amp;P 500, Nasdaq), and maintaining leadership across agricultural and energy commodities [1]. Pipeline (0/2): No next-generation products with specific launch dates or revenue visibility were discussed; growth comes from volume increases on existing products and pricing adjustments rather than new platform launches [1]. R&amp;D Intensity (1/1): CME invests meaningfully in technology infrastructure, including the Google Cloud migration and data analytics capabilities, at levels appropriate for a financial technology company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CME Group's purpose is to 'enable clients to trade futures, options, cash and OTC markets, optimize portfolios, and analyze data — empowering market participants worldwide to efficiently manage risk and capture opportunities' — clear and functional but ultimately describes a service rather than a vision of a better future [2]. Community Impact (2/2): CME Group Foundation is a substantial charitable operation supporting education and community development in Chicago, with specific programs in financial literacy and STEM education; the company also runs a Corporate Giving Program and markets education offerings with measurable community reach [3]. Employee Retention (1/2): Glassdoor 4.0/5 based on 1,295 reviews indicates above-average employee satisfaction; employees cite benefits and work-life balance as positives, though technology transformation frustrations (Google Cloud migration, pod model) create some cultural friction [2]. Insider Buying (1/2): Director William Shepard purchased 1,469 shares at $297.38 in March 2026 ($437K), a meaningful open-market buy, partially offset by officer Jonathan Marcus selling 3,291 shares [4].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CME Group's financials are exceptional across virtually every metric. D/E of 13.1% is extremely conservative for a financial services company, well below the 70% target [4]. ROE of 14.75% is just below the 15% target but rounds to near-perfect scoring. Profit margin of 62.6% is extraordinary — more than triple the 20% target — reflecting the inherently scalable exchange business model where incremental volume flows to the bottom line [1]. Revenue grew 8% YoY to $6.52B with 3-year CAGR of 9.1%, both near the 10% targets. Forward P/E of 23.1x is modestly above the 20x target but well within the scoring range. Adjusted operating margin expanded to 69.4%, up 110bps YoY [1]. The only missing metric is PEG ratio (excluded from calculation). Liquidity floor easily cleared at $682M daily traded value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CME Group exhibits many characteristics of an infinite-minded organization — a 175-year institutional heritage dating to the Chicago Board of Trade in 1848, consistent purpose around market integrity and risk management, and a leadership model that prioritizes long-term market infrastructure over quarterly gains. Terry Duffy's decade-long tenure as CEO provides strategic continuity. However, the company's competitive language occasionally reverts to finite framing around market share and volume records.</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CME Group's purpose — enabling efficient risk management and price discovery for global markets — has genuine depth rooted in 175 years of market infrastructure heritage dating to the founding of the Chicago Board of Trade in 1848 [1]. This purpose has survived multiple market crises (2008 financial crisis, COVID volatility) where CME's clearing function proved essential to market stability. The Just Cause is partially lived — strategic decisions like expanding into environmental/ESG futures and maintaining clearing guarantees during market stress trace back to the institutional mission, though the company's frequent emphasis on record volumes and revenue growth suggests the purpose competes with finite performance metrics. (2/3 points)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Glassdoor 4.0/5 with 1,295 reviews indicates a generally positive working environment with employees citing benefits and stability [2]. However, the Google Cloud migration and shift to a 'Portfolio Model' with agile pods has created significant internal friction — multiple employees describe the transformation as 'an utter disaster' with unqualified technology leaders placed in charge of development teams [2]. This suggests an organization in transition where trust is adequate but strained by top-down restructuring decisions. Leadership continuity under Duffy since 2016 provides organizational stability. (1/2 points)</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CME operates alongside ICE (Intercontinental Exchange), Eurex, and CBOE in a competitive landscape where the company acknowledges competitors' strengths and uses competitive pressure to improve its offerings — expanding into new asset classes, improving data services, and upgrading technology infrastructure in response to competitor moves rather than seeking to destroy rivals [1]. (1/1 point)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CME has evolved meaningfully from a physical trading floor for agricultural commodities to a fully electronic, multi-asset global derivatives platform. The acquisition of CBOT (2007), NYMEX (2008), and NEX Group (2018) represent strategic evolution. The current Google Cloud migration is a significant technology transformation [1][2]. However, these were incremental adjacencies and infrastructure upgrades rather than a Sinek-level abandonment of a core business — CME has always been an exchange operator. (1/2 points)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CME's decision to invest heavily in the Google Cloud migration and technology transformation — despite significant employee resistance and near-term disruption — demonstrates willingness to prioritize long-term capability over short-term organizational comfort [2]. The company's commitment to maintaining clearing guarantees during market crises (even when counterparty risk was elevated) shows institutional courage. However, the $62.9M CEO stock grant and overall compensation structure suggest leadership is well-insulated from downside risk. (1/2 points)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CME Group is a toll-booth business on global financial markets, collecting transaction and clearing fees on 28.1M average daily contracts with operating margins approaching 70% and virtually zero balance sheet risk (D/E 13%) [1]. FY2025 delivered the fourth consecutive year of record revenue ($6.52B, +6%), adjusted operating income, and adjusted EPS, with market data growing 13% to $800M as a high-margin recurring revenue stream [1]. The business benefits from structural tailwinds: market volatility drives hedging demand, regulatory requirements mandate central clearing, and CME's liquidity moat is self-reinforcing. At 23x forward earnings with 62.6% profit margins and minimal capex requirements ($85M), CME converts nearly all revenue growth into shareholder value through its $5.20 annual dividend and share repurchases.</w:t>
      </w:r>
    </w:p>
    <w:p>
      <w:pPr>
        <w:spacing w:after="120"/>
      </w:pPr>
      <w:r>
        <w:rPr>
          <w:rFonts w:ascii="Calibri" w:hAnsi="Calibri"/>
          <w:b w:val="0"/>
          <w:color w:val="3A4A28"/>
          <w:sz w:val="20"/>
        </w:rPr>
        <w:t>The bear case centers on valuation and growth deceleration. At $107B market cap and 23x forward P/E, CME is priced for continued record performance — any normalization in market volatility or trading volumes would reduce transaction fee revenue and compress the multiple [4]. Revenue grew only 8% in 2025 despite elevated volatility, and 2026 guidance implies pricing actions contribute just 1-1.5% incremental revenue on similar volumes [1]. The Google Cloud migration creates technology execution risk and has already caused significant internal disruption [2]. Fee compression from competitive pressure (ICE, CBOE) and potential regulatory changes to clearing mandates could erode pricing power. The 1.75% dividend yield is below the 2% threshold for income investors, and the stock trades near its 52-week range with limited catalyst for multiple expansion.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Sustained market volatility from tariff uncertainty, interest rate policy shifts, and geopolitical risk driving record derivatives trading volumes across all asset classes [1]</w:t>
      </w:r>
    </w:p>
    <w:p>
      <w:pPr>
        <w:spacing w:before="40" w:after="40"/>
        <w:ind w:left="283"/>
      </w:pPr>
      <w:r>
        <w:rPr>
          <w:rFonts w:ascii="Calibri" w:hAnsi="Calibri"/>
          <w:b/>
          <w:color w:val="4A6B25"/>
          <w:sz w:val="20"/>
        </w:rPr>
        <w:t xml:space="preserve">2. </w:t>
      </w:r>
      <w:r>
        <w:rPr>
          <w:rFonts w:ascii="Calibri" w:hAnsi="Calibri"/>
          <w:b w:val="0"/>
          <w:color w:val="3A4A28"/>
          <w:sz w:val="20"/>
        </w:rPr>
        <w:t>Market data revenue growing 13%+ annually to exceed $900M in 2026, representing high-margin recurring revenue that reduces dependence on transaction volumes [1]</w:t>
      </w:r>
    </w:p>
    <w:p>
      <w:pPr>
        <w:spacing w:before="40" w:after="40"/>
        <w:ind w:left="283"/>
      </w:pPr>
      <w:r>
        <w:rPr>
          <w:rFonts w:ascii="Calibri" w:hAnsi="Calibri"/>
          <w:b/>
          <w:color w:val="4A6B25"/>
          <w:sz w:val="20"/>
        </w:rPr>
        <w:t xml:space="preserve">3. </w:t>
      </w:r>
      <w:r>
        <w:rPr>
          <w:rFonts w:ascii="Calibri" w:hAnsi="Calibri"/>
          <w:b w:val="0"/>
          <w:color w:val="3A4A28"/>
          <w:sz w:val="20"/>
        </w:rPr>
        <w:t>Google Cloud migration completion enabling lower technology costs, faster product launches, and enhanced data analytics capabilities that could unlock new revenue streams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Normalization of market volatility from current elevated levels would reduce hedging demand and transaction volumes, directly impacting the 70% of revenue derived from transaction fees [1]</w:t>
      </w:r>
    </w:p>
    <w:p>
      <w:pPr>
        <w:spacing w:before="40" w:after="40"/>
        <w:ind w:left="283"/>
      </w:pPr>
      <w:r>
        <w:rPr>
          <w:rFonts w:ascii="Calibri" w:hAnsi="Calibri"/>
          <w:b/>
          <w:color w:val="4A6B25"/>
          <w:sz w:val="20"/>
        </w:rPr>
        <w:t xml:space="preserve">2. </w:t>
      </w:r>
      <w:r>
        <w:rPr>
          <w:rFonts w:ascii="Calibri" w:hAnsi="Calibri"/>
          <w:b w:val="0"/>
          <w:color w:val="3A4A28"/>
          <w:sz w:val="20"/>
        </w:rPr>
        <w:t>Technology transformation risk — Google Cloud migration has created internal friction and organizational disruption, with employees describing the transition as problematic [2]</w:t>
      </w:r>
    </w:p>
    <w:p>
      <w:pPr>
        <w:spacing w:before="40" w:after="40"/>
        <w:ind w:left="283"/>
      </w:pPr>
      <w:r>
        <w:rPr>
          <w:rFonts w:ascii="Calibri" w:hAnsi="Calibri"/>
          <w:b/>
          <w:color w:val="4A6B25"/>
          <w:sz w:val="20"/>
        </w:rPr>
        <w:t xml:space="preserve">3. </w:t>
      </w:r>
      <w:r>
        <w:rPr>
          <w:rFonts w:ascii="Calibri" w:hAnsi="Calibri"/>
          <w:b w:val="0"/>
          <w:color w:val="3A4A28"/>
          <w:sz w:val="20"/>
        </w:rPr>
        <w:t>Fee compression from intensifying competition with ICE, CBOE, and emerging crypto/digital asset exchanges that could erode CME's pricing power on standardized derivatives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CME Group's core business — operating regulated derivatives exchanges with clearing and settlement infrastructure — has significant structural protection from AI disruption through regulatory barriers (CFTC/SEC oversight), network effects (liquidity begets liquidity), and the critical role of central clearing in systemic risk management [1]. AI cannot replace the function of a regulated central counterparty clearinghouse. However, AI does create moderate risk in adjacent areas: AI-powered trading platforms could eventually disintermediate some exchange functions, AI could enable bilateral OTC matching that reduces demand for standardized futures, and AI-driven market-making could compress spreads and reduce transaction fee revenue potential [2]. The Google Cloud migration and appointment of a Chief Strategy &amp; Transformation Officer suggest CME recognizes the need to adapt its technology stack. AI Opportunity (1/1): CME generates revenue from AI-adjacent services — its $800M market data business serves quantitative and algorithmic trading firms that are heavy AI users, and increased AI-driven trading volume directly benefits CME's transaction fee revenue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Systemic Risk Mitigation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CME Group Q4/FY2025 Earnings Release — $6.52B revenue, record ADV 28.1M contracts, 69.4% adjusted operating margin, February 2026</w:t>
      </w:r>
    </w:p>
    <w:p>
      <w:pPr>
        <w:spacing w:before="20" w:after="20"/>
        <w:ind w:left="170"/>
      </w:pPr>
      <w:r>
        <w:rPr>
          <w:rFonts w:ascii="Calibri" w:hAnsi="Calibri"/>
          <w:b/>
          <w:color w:val="4A6B25"/>
          <w:sz w:val="15"/>
        </w:rPr>
        <w:t xml:space="preserve">2. </w:t>
      </w:r>
      <w:r>
        <w:rPr>
          <w:rFonts w:ascii="Calibri" w:hAnsi="Calibri"/>
          <w:b w:val="0"/>
          <w:color w:val="3A4A28"/>
          <w:sz w:val="17"/>
        </w:rPr>
        <w:t>CME Group leadership, Glassdoor 4.0/5 (1,295 reviews), CEO Terry Duffy, Google Cloud transformation, AI strategy</w:t>
      </w:r>
    </w:p>
    <w:p>
      <w:pPr>
        <w:spacing w:before="20" w:after="20"/>
        <w:ind w:left="170"/>
      </w:pPr>
      <w:r>
        <w:rPr>
          <w:rFonts w:ascii="Calibri" w:hAnsi="Calibri"/>
          <w:b/>
          <w:color w:val="4A6B25"/>
          <w:sz w:val="15"/>
        </w:rPr>
        <w:t xml:space="preserve">3. </w:t>
      </w:r>
      <w:r>
        <w:rPr>
          <w:rFonts w:ascii="Calibri" w:hAnsi="Calibri"/>
          <w:b w:val="0"/>
          <w:color w:val="3A4A28"/>
          <w:sz w:val="17"/>
        </w:rPr>
        <w:t>CME Group ESG Report — CME Group Foundation, community giving, ESG derivatives products, sustainability initiatives</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CME (CME Group Inc.), retrieved April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