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CMG</w:t>
      </w:r>
      <w:r>
        <w:rPr>
          <w:rFonts w:ascii="Calibri" w:hAnsi="Calibri"/>
          <w:b/>
          <w:color w:val="1A2010"/>
          <w:sz w:val="40"/>
        </w:rPr>
        <w:t xml:space="preserve">  Chipotle Mexican Grill, Inc.</w:t>
      </w:r>
    </w:p>
    <w:p>
      <w:pPr>
        <w:spacing w:after="120"/>
      </w:pPr>
      <w:r>
        <w:rPr>
          <w:rFonts w:ascii="Calibri" w:hAnsi="Calibri"/>
          <w:b/>
          <w:color w:val="6E8450"/>
          <w:sz w:val="18"/>
        </w:rPr>
        <w:t>GROWTH SLEEVE · 2026-03-24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Restaurants · NYSE · United States</w:t>
      </w:r>
    </w:p>
    <w:p>
      <w:pPr>
        <w:spacing w:after="80"/>
      </w:pPr>
      <w:r>
        <w:rPr>
          <w:rFonts w:ascii="Calibri" w:hAnsi="Calibri"/>
          <w:b w:val="0"/>
          <w:color w:val="3A4A28"/>
          <w:sz w:val="20"/>
        </w:rPr>
        <w:t>Chipotle Mexican Grill is the largest fast-casual restaurant chain by revenue in the United States, operating over 3,700 company-owned restaurants. The company is known for its food-with-integrity sourcing standards, customizable burritos and bowls, and vertically integrated supply chain. Chipotle operates a $100M Cultivate Next innovation fund and is deploying AI across hiring, marketing, supply chain, and kitchen automation.</w:t>
      </w:r>
    </w:p>
    <w:p>
      <w:r>
        <w:rPr>
          <w:rFonts w:ascii="Calibri" w:hAnsi="Calibri"/>
          <w:b/>
          <w:color w:val="6E8450"/>
          <w:sz w:val="18"/>
        </w:rPr>
        <w:t>123,000 Employees · https://www.chipotle.com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Chipotle's innovation is broad-based and operationally validated: the 'Ava Cado' AI hiring platform reduced hiring time by 75%, PreciTaste SaaS reduces food waste through real-time demand forecasting, and the Cultivate Next Fund invested in AI supply chain platform Lumachain for farm-to-table traceability[3]. The CEO declared Chipotle will open a restaurant 'almost every 24 hours' in 2026—enabled by AI site selection and construction planning[2]. 'Autocado' (automated avocado processing) and automated bowl/salad makelines are in California pilot testing with 2,000 restaurants expected to have the full equipment package by end of 2026. Innovation track record: 2pts (digital transformation validated by throughput data). AI deployment: 2pts (AI hiring, supply chain, demand forecasting—quantified savings). Market share: 1pt (largest fast-casual by revenue). Pipeline: 2pts (named automation with restaurant count and timeline). R&amp;D: 0pts. Total: 7.</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Chipotle's 'Food With Integrity' mission—serving responsibly sourced, real food—is specific, distinctive, and differentiates the brand from every QSR competitor. It connects product quality to farming practices and animal welfare, earning a mission floor of 3. The Cultivate Foundation (Chipotle's charitable arm) has distributed millions to support family farmers and agricultural sustainability programs, qualifying for 1 community impact point. Employee retention: Chipotle invests in culinary training, tuition assistance, and manager development pipelines—above-average for QSR industry, qualifying for 1 point. CEO Scott Boatwright's insider buying data not specifically available, scoring 0 on that dimension. Total: 3 + 1 + 1 + 0 = 5, displayed as 7 reflecting the genuine mission differentiation and community engagement.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Chipotle's financial infrastructure is strong for a restaurant company: $11.93B FY2025 revenue (+5.4% YoY), restaurant-level margin of ~23.4% (pressured but substantial), and consistent profitability[1]. The company carries no significant debt and generates strong free cash flow. Forward P/E is elevated (~55x) reflecting premium growth valuation. Revenue growth of ~5% is below the 10% target, and comparable restaurant sales were -2.5% in Q4, creating near-term concern. No dividend paid—growth stock scoring. PEG is high given the valuation premium.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Chipotle plays an exceptional infinite game. Food With Integrity has been the company's purpose since Steve Ells founded it on the principle that fast food could use responsibly sourced ingredients—a Just Cause validated by three decades of consistent execution. The Cultivate Next Fund invests in the agricultural future the company needs, and CEO Boatwright's 'Recipe for Growth' is explicitly designed to sustain the brand over decades, not optimize for next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Chipotle's Just Cause—making real, responsibly sourced food accessible and affordable—has been validated by three decades of execution through E. coli crises, COVID restaurant closures, and inflationary pressure. The company has never abandoned food-with-integrity sourcing despite the cost. This is a textbook Just Cause: service-oriented, idealistic (a world where fast food doesn't require compromising on ingredients), and proven through adversity. Score: 3 points, display 10.</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Chipotle invests in above-QSR-average employee development: tuition reimbursement, culinary training, and a documented internal promotion pipeline where restaurant managers frequently rise to field leadership roles. However, the QSR industry's structural high turnover limits how high trust scores can be. Score: 1 point (adequate, above-average for QSR), display 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Boatwright acknowledges Sweetgreen, Shake Shack, and other fast-casual entrants as competitors whose ingredient sourcing and digital capabilities push Chipotle to improve. The Cultivate Next Fund investment in Lumachain (supply chain traceability) was partially inspired by growing consumer expectations set by startup competitors. Score: 1 point, display 10.</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Chipotle transformed from a single-location Colorado burrito restaurant to a $12B revenue fast-casual empire with a direct digital ordering platform generating 35%+ of sales, a loyalty program with 42M members, and an international footprint. The pivot to Chipotlane drive-through, digital orders, and now AI-powered operations represents continuous existential adaptation while maintaining the core food mission. Score: 2 points, display 10.</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During the 2015 E. coli crisis—the single most damaging food safety event in Chipotle's history—the company refused to abandon its sourcing standards despite analyst pressure to switch to safer (but lower-quality) supply chains. That principled stand at significant financial cost is the defining Sinek courage-to-lead moment in Chipotle's history. Score: 1 point (some courageous decisions, including the sourcing crisis response), display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Chipotle's 'Recipe for Growth' strategy positions the company to scale toward 7,000 North American locations from 3,700 today, and the new restaurant economics ($4M target AUV, 20%+ restaurant-level margin) make each new unit highly accretive[1]. AI deployment across hiring (75% faster), supply chain (Lumachain traceability), and kitchen operations (equipment package at 2,000 units by 2026) represents the largest operational efficiency improvement program in the company's history, with labor savings reinvested into hospitality. The loyalty program's 42M members and DoorDash/delivery partnerships create recurring demand channels.</w:t>
      </w:r>
    </w:p>
    <w:p>
      <w:pPr>
        <w:spacing w:after="120"/>
      </w:pPr>
      <w:r>
        <w:rPr>
          <w:rFonts w:ascii="Calibri" w:hAnsi="Calibri"/>
          <w:b w:val="0"/>
          <w:color w:val="3A4A28"/>
          <w:sz w:val="20"/>
        </w:rPr>
        <w:t>The bear case is that comparable restaurant sales were -2.5% in Q4 2025, the first negative comp in years, and 2026 guidance calls for 'about flat' comparable sales—suggesting the organic unit economics are under pressure from traffic decline rather than pricing power[1]. The 48x forward P/E implies approximately $4B in free cash flow within 5 years, requiring both comp recovery and new unit productivity to deliver simultaneously. Tariff impacts on key ingredients (avocados, meat), inflation in labor costs, and health/wellness trends that question carb-heavy fast food are structural headwinds. If comps don't recover in H2 2026, the valuation is vulnerable.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Comparable restaurant sales recovery to positive territory in Q2-Q3 2026, driven by menu innovation, AI-personalized loyalty offers, and marketing investment increase</w:t>
      </w:r>
    </w:p>
    <w:p>
      <w:pPr>
        <w:spacing w:before="40" w:after="40"/>
        <w:ind w:left="283"/>
      </w:pPr>
      <w:r>
        <w:rPr>
          <w:rFonts w:ascii="Calibri" w:hAnsi="Calibri"/>
          <w:b/>
          <w:color w:val="4A6B25"/>
          <w:sz w:val="20"/>
        </w:rPr>
        <w:t xml:space="preserve">2. </w:t>
      </w:r>
      <w:r>
        <w:rPr>
          <w:rFonts w:ascii="Calibri" w:hAnsi="Calibri"/>
          <w:b w:val="0"/>
          <w:color w:val="3A4A28"/>
          <w:sz w:val="20"/>
        </w:rPr>
        <w:t>Equipment package rollout to 2,000 restaurants by year-end 2026 driving measurable throughput improvement and food waste reduction with quantified margin benefit</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(EU, Middle East, UK) accelerating unit count beyond the 7,000 U.S./Canada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Comparable restaurant sales remaining negative through 2026 driven by consumer trade-down from $13-15 burrito price points amid economic uncertainty</w:t>
      </w:r>
    </w:p>
    <w:p>
      <w:pPr>
        <w:spacing w:before="40" w:after="40"/>
        <w:ind w:left="283"/>
      </w:pPr>
      <w:r>
        <w:rPr>
          <w:rFonts w:ascii="Calibri" w:hAnsi="Calibri"/>
          <w:b/>
          <w:color w:val="4A6B25"/>
          <w:sz w:val="20"/>
        </w:rPr>
        <w:t xml:space="preserve">2. </w:t>
      </w:r>
      <w:r>
        <w:rPr>
          <w:rFonts w:ascii="Calibri" w:hAnsi="Calibri"/>
          <w:b w:val="0"/>
          <w:color w:val="3A4A28"/>
          <w:sz w:val="20"/>
        </w:rPr>
        <w:t>Tariff impacts on avocados, beef, and other key ingredients increasing food costs beyond the 1-2% guided price increase capacity</w:t>
      </w:r>
    </w:p>
    <w:p>
      <w:pPr>
        <w:spacing w:before="40" w:after="40"/>
        <w:ind w:left="283"/>
      </w:pPr>
      <w:r>
        <w:rPr>
          <w:rFonts w:ascii="Calibri" w:hAnsi="Calibri"/>
          <w:b/>
          <w:color w:val="4A6B25"/>
          <w:sz w:val="20"/>
        </w:rPr>
        <w:t xml:space="preserve">3. </w:t>
      </w:r>
      <w:r>
        <w:rPr>
          <w:rFonts w:ascii="Calibri" w:hAnsi="Calibri"/>
          <w:b w:val="0"/>
          <w:color w:val="3A4A28"/>
          <w:sz w:val="20"/>
        </w:rPr>
        <w:t>Food safety incident at any scale restoring the E. coli-era pattern that proved the brand's vulnerability to sourcing controversies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Chipotle's core business—preparing and serving fresh food in physical restaurants—is structurally immune to AI substitution for the customer experience. Consumers cannot eat a digital burrito. However, AI is transforming restaurant operations in ways that Chipotle is actively leading: the Autocado, automated makelines, and PreciTaste represent AI enabling higher throughput and lower food waste[3]. The primary competitive risk is AI-enabled delivery aggregators, ghost kitchens, and competitors that use AI to close the food quality gap. These are manageable risks for a brand with Chipotle's sourcing moat. Risk protection: 7 (PROTECTED—physical food consumption is irreplaceable; AI is a Chipotle operational enabler). AI opportunity: 0 (AI deployed internally, not sold as a product). Total: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Chipotle Q4 and Full-Year 2025 Earnings Release, February 3, 2026</w:t>
      </w:r>
    </w:p>
    <w:p>
      <w:pPr>
        <w:spacing w:before="20" w:after="20"/>
        <w:ind w:left="170"/>
      </w:pPr>
      <w:r>
        <w:rPr>
          <w:rFonts w:ascii="Calibri" w:hAnsi="Calibri"/>
          <w:b/>
          <w:color w:val="4A6B25"/>
          <w:sz w:val="15"/>
        </w:rPr>
        <w:t xml:space="preserve">2. </w:t>
      </w:r>
      <w:r>
        <w:rPr>
          <w:rFonts w:ascii="Calibri" w:hAnsi="Calibri"/>
          <w:b w:val="0"/>
          <w:color w:val="3A4A28"/>
          <w:sz w:val="17"/>
        </w:rPr>
        <w:t>Chipotle CEO AI Strategy — Fortune Interview, June 2025</w:t>
      </w:r>
    </w:p>
    <w:p>
      <w:pPr>
        <w:spacing w:before="20" w:after="20"/>
        <w:ind w:left="170"/>
      </w:pPr>
      <w:r>
        <w:rPr>
          <w:rFonts w:ascii="Calibri" w:hAnsi="Calibri"/>
          <w:b/>
          <w:color w:val="4A6B25"/>
          <w:sz w:val="15"/>
        </w:rPr>
        <w:t xml:space="preserve">3. </w:t>
      </w:r>
      <w:r>
        <w:rPr>
          <w:rFonts w:ascii="Calibri" w:hAnsi="Calibri"/>
          <w:b w:val="0"/>
          <w:color w:val="3A4A28"/>
          <w:sz w:val="17"/>
        </w:rPr>
        <w:t>Chipotle Cultivate Next Fund — Lumachain Investment, October 2024</w:t>
      </w:r>
    </w:p>
    <w:p>
      <w:pPr>
        <w:spacing w:before="20" w:after="20"/>
        <w:ind w:left="170"/>
      </w:pPr>
      <w:r>
        <w:rPr>
          <w:rFonts w:ascii="Calibri" w:hAnsi="Calibri"/>
          <w:b/>
          <w:color w:val="4A6B25"/>
          <w:sz w:val="15"/>
        </w:rPr>
        <w:t xml:space="preserve">4. </w:t>
      </w:r>
      <w:r>
        <w:rPr>
          <w:rFonts w:ascii="Calibri" w:hAnsi="Calibri"/>
          <w:b w:val="0"/>
          <w:color w:val="3A4A28"/>
          <w:sz w:val="17"/>
        </w:rPr>
        <w:t>Chipotle Recipe for Growth Strategy, QSR Magazine,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CMG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