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CMPX</w:t>
      </w:r>
      <w:r>
        <w:rPr>
          <w:rFonts w:ascii="Calibri" w:hAnsi="Calibri"/>
          <w:b/>
          <w:color w:val="1A2010"/>
          <w:sz w:val="40"/>
        </w:rPr>
        <w:t xml:space="preserve">  Compass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31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Compass Therapeutics is a clinical-stage oncology biotech developing bispecific and multispecific antibodies via its StitchMabs and common light chain platforms. Lead asset tovecimig (CTX-009) is a DLL4/VEGF-A bispecific in a Phase 2/3 COMPANION-002 study for biliary tract cancer, which met its primary efficacy endpoint in April 2025 (17.1% ORR vs 5.3% for paclitaxel alone).</w:t>
      </w:r>
    </w:p>
    <w:p>
      <w:r>
        <w:rPr>
          <w:rFonts w:ascii="Calibri" w:hAnsi="Calibri"/>
          <w:b/>
          <w:color w:val="6E8450"/>
          <w:sz w:val="18"/>
        </w:rPr>
        <w:t>35 Employees · https://www.compasstherapeutics.com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Tovecimig met its primary efficacy endpoint in the COMPANION-002 Phase 2/3 biliary tract cancer trial in April 2025 with a 17.1% overall response rate vs 5.3% for paclitaxel alone — a meaningful, differentiated oncology signal [1]. AI Deployment (1/2): No explicit AI platform, but Compass describes a 'proprietary antibody discovery engine' that identifies optimal bispecific combinations empirically via StitchMabs and common light chain platforms [2]. Market Share (2/2): If the late-Q1 2026 PFS/OS analyses are confirmatory, tovecimig could be first-to-market as a bispecific for 2L biliary tract cancer, an orphan indication with limited options [1]. Pipeline (2/2): Pivotal PFS/OS analyses from COMPANION-002 on track for late Q1 2026 are the near-term catalyst; multiple bispecific follow-ons from the StitchMabs platform extend the pipeline. 17 analysts forecast revenue of $65M in the following year (+678%) reflecting commercial launch expectations [1]. R&amp;D Intensity (0/1): Small team (~35 employees) limits scale of R&amp;D throughput despite platform approach.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Oncology mission to develop bispecific/multispecific antibodies for difficult-to-treat cancers like biliary tract cancer is authentic; CEO Dr. Thomas Schuetz has 20+ years in oncology drug development and previously led R&amp;D at Compass [2]. Community Impact (1/2): Small biotech social footprint; MassBio member participation typical. Employee Retention (1/2): Glassdoor 3.1/5 rating from only 18 reviews with mixed signals — positives cite 'regular interaction with CEO and senior management,' 'purpose driven, collaborative culture,' and 'outstanding benefits including 90% paid health coverage,' but low sample size and modest overall score limit confidence [2]. Insider Buying (1/2): Schuetz's elevation from President of R&amp;D to CEO suggests leadership continuity; notable institutional ownership supports the platform thesis.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Compass is pre-commercial with distressed financial metrics typical of clinical-stage biotech. No current revenue, profit margin 0%, ROE of -41.3%, forward P/E of -11.3x [4]. Analysts forecast FY2026 net loss of ~$82M (range -$40M to -$124M) and FY2027 revenue of ~$65M on tovecimig launch assumption [1]. D/E of 5.0% indicates a clean balance sheet funded primarily by equity. Market cap of $980M at $5.44/share prices in meaningful probability of biliary tract cancer approval and commercial launch [4]. Stock is below 50-day SMA ($5.71 vs $5.44) showing some pre-readout hesitation. Liquidity floor cleared: 2.21M avg vol x $5.44 = $12.0M daily turnover [4]. Score of 3 is appropriate for pre-revenue clinical-stage with a meaningful positive readout already in hand.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Compass plays a platform game — StitchMabs and common light chain platforms enable multi-asset bispecific pipeline extension beyond tovecimig, and Dr. Thomas Schuetz's promotion from President of R&amp;D to CEO preserves scientific continuity. The culture fundamentals (CEO engagement, purpose-driven team) support infinite thinking, but small scale (~35 employees) and binary near-term readouts temper the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Developing bispecific antibodies for cancers with poor standard-of-care options — biliary tract cancer has limited 2L treatment options — is a meaningful, patient-centered mission [1]. The platform approach supports multi-decade pipeline expansion beyond tovecimig.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 of 3.1/5 is modest but reviews emphasize positive cultural signals: 'regular interaction with CEO and senior management,' 'smart and collegial employees,' 'purpose driven, collaborative, feedback oriented,' and 'outstanding benefits including 90% paid health coverage' [2]. Small sample size (18 reviews) limits confidence.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Compass operates in a competitive bispecific-antibody landscape (Amgen, Regeneron, Zymeworks, Genmab) and an oncology space with established anti-VEGF/DLL4 peers (Roche bevacizumab). The company frames differentiation via the dual-target mechanism and empirical combination screening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Platform-based R&amp;D via StitchMabs and common light chain enables Compass to pivot into new bispecific combinations as data dictates [2]. However, near-term valuation remains tightly concentrated on tovecimig's biliary tract cancer readout, creating single-asset concentration.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Pursuing bispecific antibodies in difficult oncology indications when monoclonal alternatives exist requires scientific conviction; the April 2025 primary endpoint hit (17.1% ORR vs 5.3%) validates the bold bet on dual DLL4/VEGF-A targeting [1]. Pursuit of late Q1 2026 PFS/OS analyses with commercial ambitions demonstrates willingness to operate at the regulatory frontier.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Compass Therapeutics is a sub-$1B clinical-stage oncology biotech with a validated lead asset: tovecimig (CTX-009), a DLL4/VEGF-A bispecific antibody, met its primary efficacy endpoint in the COMPANION-002 Phase 2/3 biliary tract cancer trial in April 2025 with a 17.1% overall response rate vs 5.3% for paclitaxel alone [1]. Pivotal PFS/OS analyses are on track for late Q1 2026 and, if confirmatory, could enable a regulatory filing for 2L biliary tract cancer — a high-unmet-need indication with limited options [1]. Analyst consensus forecasts FY2027 revenue of ~$65M (+678%) consistent with a commercial launch scenario [1]. The StitchMabs and common light chain platforms support multi-asset pipeline extension beyond tovecimig. CEO Dr. Thomas Schuetz (MD/PhD) was promoted from President of R&amp;D, preserving scientific continuity with 20+ years of oncology drug development experience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reflects the binary nature of clinical biotech. Compass remains pre-revenue with 0% profit margin, ROE of -41.3%, and forward P/E of -11.3x — the full $980M market cap is optionality on tovecimig [4]. Late Q1 2026 PFS/OS results must confirm the April 2025 ORR signal; anything short of convincing survival benefit could compress shares substantially. Commercial risk includes payer reimbursement in a small 2L biliary tract cancer population, potential competitive entry, and manufacturing scale-up challenges for a ~35-employee company. Glassdoor rating of 3.1/5 (18 reviews) is modest though qualitative feedback is positive. Cash runway and potential dilution are meaningful considerations given the -$82M consensus 2026 loss estimate [1][4]. WATCH ahead of the late Q1 2026 readout; upgrade conviction on confirmatory survival data.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COMPANION-002 pivotal PFS/OS analyses expected late Q1 2026 — the decisive catalyst confirming tovecimig's April 2025 primary endpoint hit (17.1% ORR vs 5.3%)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Regulatory filing for tovecimig in 2L biliary tract cancer could enable commercial launch by FY2027, with consensus revenue forecast of ~$65M (+678%)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Platform extension via StitchMabs and common light chain bispecific engines enabling multi-asset pipeline expansion beyond tovecimig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Late Q1 2026 PFS/OS readout risk — failure to confirm survival benefit could compress the $980M market cap substantially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Commercial/payer risk — biliary tract cancer is a small indication, and payer reimbursement plus manufacturing scale-up for a ~35-employee team add execution risk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Cash runway and dilution — consensus FY2026 loss of ~$82M (range -$40M to -$124M) may require additional financing, creating potential dilution overhang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Oncology biologics are insulated from AI disruption — clinical efficacy, safety, and regulatory approval drive value, none of which can be automated away by AI [1][2]. Compass's bispecific platform (StitchMabs, common light chain) is a legitimate scientific moat, and tovecimig's mechanism (dual DLL4/VEGF-A blockade) is distinctive vs single-target antibody peers. AI Opportunity (1/1): Compass's 'proprietary antibody discovery engine' identifies optimal bispecific combinations empirically, which can be augmented by AI/ML for epitope selection, affinity optimization, and combination screening — though the company has not framed this as an explicit AI strategy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Compass Therapeutics Q3 2025 Financial Results and Corporate Update; COMPANION-002 tovecimig April 2025 primary endpoint hit and late Q1 2026 PFS/OS guidance; WallStreetZen analyst consensus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Compass Therapeutics About / Leadership pages; The Org leadership team; Glassdoor reviews (3.1/5 from 18 reviews); CEO Thomas Schuetz MD/PhD profile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Compass Therapeutics corporate ESG disclosures and MassBio member profile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CMPX (Compass Therapeutics),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