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CMS</w:t>
      </w:r>
      <w:r>
        <w:rPr>
          <w:rFonts w:ascii="Calibri" w:hAnsi="Calibri"/>
          <w:b/>
          <w:color w:val="1A2010"/>
          <w:sz w:val="40"/>
        </w:rPr>
        <w:t xml:space="preserve">  CMS Energy Corporation</w:t>
      </w:r>
    </w:p>
    <w:p>
      <w:pPr>
        <w:spacing w:after="120"/>
      </w:pPr>
      <w:r>
        <w:rPr>
          <w:rFonts w:ascii="Calibri" w:hAnsi="Calibri"/>
          <w:b/>
          <w:color w:val="6E8450"/>
          <w:sz w:val="18"/>
        </w:rPr>
        <w:t>DIVIDEND SLEEVE · 2026-04-09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CMS Energy operates as an energy company primarily in Michigan through three segments: Electric Utility (1.9M customers), Gas Utility (1.8M customers), and NorthStar Clean Energy (independent power production and renewable generation). The company generates, distributes, and sells electricity and natural gas across Michigan.</w:t>
      </w:r>
    </w:p>
    <w:p>
      <w:r>
        <w:rPr>
          <w:rFonts w:ascii="Calibri" w:hAnsi="Calibri"/>
          <w:b/>
          <w:color w:val="6E8450"/>
          <w:sz w:val="18"/>
        </w:rPr>
        <w:t>8,350 Employees · https://www.cmsenergy.com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CMS Energy has steadily executed its regulated utility model with 12.3% revenue growth in the most recent quarter and raised 2026 adjusted EPS guidance to $3.83-$3.90, reflecting 6-8% long-term growth [1]. No transformative pivots, but disciplined incremental execution. AI Deployment (1/2): The company is deploying grid modernization technology and collaborating with Amazon, Google, and Microsoft on data center interconnections, with CEO Rochow noting 'so much transformation underway' in the industry [2]. No specific AI-driven revenue or cost savings quantified. Market Share (1/2): Consumers Energy is Michigan's largest electric and gas utility with a regulated monopoly serving 3.7 million customers, providing stable but non-competitive market positioning [1]. Pipeline (1/2): NorthStar Clean Energy segment is expanding renewable generation capacity, and CMS is positioning for data center power demand from hyperscalers [2]. The company targets net zero carbon by 2040 [3]. R&amp;D Intensity (1/1): Above-average capital investment for the utility sector with $14B+ in planned grid modernization and clean energy infrastructure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CMS Energy's mission centers on providing 'world-class performance delivering hometown service' — clear and specific to its utility role but not transcendent or deeply purposeful. CEO Rochow promises to create an environment where all contributions are valued [2]. Community Impact (2/2): As Michigan's largest utility, CMS directly serves 3.7 million customers and employs 8,350 people. The company has committed to net zero carbon by 2040, invested in renewable generation through NorthStar Clean Energy, and maintains significant community presence across Michigan [3]. Employee Retention (1/2): Shaun Johnson leads workforce development and 'high performance, people centered culture' initiatives [2]. No specific turnover or tenure data available, but utility sector typically shows above-average retention. Insider Buying (1/2): Recent insider transactions show stock award grants to CEO Rochow (19,681 shares) and CFO Hayes (6,316 shares) in March 2026, reflecting equity alignment but no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CMS Energy's financial infrastructure reflects a strong regulated utility profile. Forward P/E of 18.88x is attractive for a utility with 6-8% EPS growth guidance [1]. Revenue grew 13.6% YoY to $8.54B in 2025, though the 3-year CAGR is approximately flat at -0.2% due to 2023 weakness [5]. D/E of 194.9% is elevated but typical for capital-intensive utilities with regulated rate recovery. ROE of 10.9% is below the 15% target but reasonable for regulated utilities. The dividend profile is exceptional: 34 consecutive years paid, 18 consecutive years of growth, 5.88% 5-year CAGR, and a 61.6% payout ratio with visibility to continued growth [5]. Liquidity easily cleared at $247M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CMS Energy under CEO Garrick Rochow demonstrates meaningful infinite game characteristics through its 34-year dividend growth streak, net zero carbon 2040 commitment, and patient infrastructure investment. The company's regulated utility model inherently favors long-term planning over quarterly optimization, though the lack of transformative strategic pivots limits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CMS Energy's purpose centers on providing reliable, affordable, and clean energy to Michigan communities, validated by the net zero carbon 2040 commitment and multi-billion dollar clean energy infrastructure investment [3]. CEO Rochow's emphasis on belonging and inclusive culture supports this cause, though it lacks the transformative boldness of a true Just Cause that reshapes an industry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CMS has maintained exceptional organizational stability under Rochow's leadership, with 8,350 employees operating across Michigan in a stable utility environment with long-tenured union and non-union workforce [2]. Shaun Johnson oversees a 'high performance, people-centered culture' initiative emphasizing talent strategy, workforce development, and employee relations. The regulated utility model inherently fosters long employee tenure and low voluntary turnover, and Rochow's commitment to creating an environment where 'the contributions of all are heard and valued, and everyone knows they belong' reflects genuine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CMS Energy acknowledges the strengths of energy technology leaders and actively collaborates with Amazon, Google, and Microsoft rather than viewing them as threats [2]. The company's approach to the clean energy transition — learning from renewable energy leaders and adopting best practices — reflects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CMS has evolved from a traditional fossil fuel utility toward clean energy through NorthStar Clean Energy and the net zero carbon 2040 commitment [3]. The pivot to serve data center demand represents strategic adaptation. However, this evolution is incremental rather than transformative — driven by regulatory and market forces more than bold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CMS's net zero carbon 2040 commitment is among the more aggressive targets in the utility sector, requiring significant capital investment in renewable generation while retiring coal assets [3]. Raising 2026 EPS guidance while investing billions in grid modernization shows willingness to balance near-term returns with long-term infrastructure [1]. However, these decisions align with regulatory incentives and market trends rather than counter-consensus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CMS Energy is a premier regulated utility delivering consistent, predictable growth with a 34-year dividend payment streak and 18 consecutive years of dividend increases [1]. The company raised 2026 adjusted EPS guidance to $3.83-$3.90 (6-8% growth), revenue grew 13.6% YoY in the most recent quarter, and the 5.88% five-year dividend CAGR significantly outpaces inflation [1]. At 18.9x forward P/E, CMS is reasonably valued for a utility with above-average growth visibility, supported by Michigan's constructive regulatory environment and the emerging data center power demand tailwind from hyperscaler partnerships [2]. The $2.28 annual dividend (2.89% yield) provides a defensive income floor, while NorthStar Clean Energy positions the company for the renewable transition [3].</w:t>
      </w:r>
    </w:p>
    <w:p>
      <w:pPr>
        <w:spacing w:after="120"/>
      </w:pPr>
      <w:r>
        <w:rPr>
          <w:rFonts w:ascii="Calibri" w:hAnsi="Calibri"/>
          <w:b w:val="0"/>
          <w:color w:val="3A4A28"/>
          <w:sz w:val="20"/>
        </w:rPr>
        <w:t>The primary risk is CMS's capital-intensive growth model, which has driven D/E to 195% and generated negative free cash flow of -$1.74B as the company invests heavily in grid modernization and clean energy infrastructure [5]. Revenue volatility is evident in the flat 3-year CAGR despite the recent 13.6% YoY surge, partly driven by weather-dependent demand [1]. The 61.6% payout ratio, while sustainable, leaves less margin for dividend growth acceleration. Regulatory risk is ever-present — any change in Michigan's constructive rate-making framework could compress returns. The net zero carbon 2040 target requires substantial ongoing capital expenditure that could pressure the balance sheet if interest rates remain elevated. Additionally, the utility sector faces execution risk on the data center power demand thesis, as hyperscaler buildout timelines and power purchase agreements remain uncertain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data center partnerships with Amazon, Google, and Microsoft driving incremental power demand and capital investment returns in Michigan [2]</w:t>
      </w:r>
    </w:p>
    <w:p>
      <w:pPr>
        <w:spacing w:before="40" w:after="40"/>
        <w:ind w:left="283"/>
      </w:pPr>
      <w:r>
        <w:rPr>
          <w:rFonts w:ascii="Calibri" w:hAnsi="Calibri"/>
          <w:b/>
          <w:color w:val="4A6B25"/>
          <w:sz w:val="20"/>
        </w:rPr>
        <w:t xml:space="preserve">2. </w:t>
      </w:r>
      <w:r>
        <w:rPr>
          <w:rFonts w:ascii="Calibri" w:hAnsi="Calibri"/>
          <w:b w:val="0"/>
          <w:color w:val="3A4A28"/>
          <w:sz w:val="20"/>
        </w:rPr>
        <w:t>Raised 2026 adjusted EPS guidance to $3.83-$3.90 with reaffirmed 6-8% long-term EPS growth target [1]</w:t>
      </w:r>
    </w:p>
    <w:p>
      <w:pPr>
        <w:spacing w:before="40" w:after="40"/>
        <w:ind w:left="283"/>
      </w:pPr>
      <w:r>
        <w:rPr>
          <w:rFonts w:ascii="Calibri" w:hAnsi="Calibri"/>
          <w:b/>
          <w:color w:val="4A6B25"/>
          <w:sz w:val="20"/>
        </w:rPr>
        <w:t xml:space="preserve">3. </w:t>
      </w:r>
      <w:r>
        <w:rPr>
          <w:rFonts w:ascii="Calibri" w:hAnsi="Calibri"/>
          <w:b w:val="0"/>
          <w:color w:val="3A4A28"/>
          <w:sz w:val="20"/>
        </w:rPr>
        <w:t>NorthStar Clean Energy expansion and net zero carbon 2040 roadmap creating regulatory goodwill and rate base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Capital-intensive growth model generating negative free cash flow (-$1.74B) with D/E at 195%, creating refinancing risk in a higher-rate environment [5]</w:t>
      </w:r>
    </w:p>
    <w:p>
      <w:pPr>
        <w:spacing w:before="40" w:after="40"/>
        <w:ind w:left="283"/>
      </w:pPr>
      <w:r>
        <w:rPr>
          <w:rFonts w:ascii="Calibri" w:hAnsi="Calibri"/>
          <w:b/>
          <w:color w:val="4A6B25"/>
          <w:sz w:val="20"/>
        </w:rPr>
        <w:t xml:space="preserve">2. </w:t>
      </w:r>
      <w:r>
        <w:rPr>
          <w:rFonts w:ascii="Calibri" w:hAnsi="Calibri"/>
          <w:b w:val="0"/>
          <w:color w:val="3A4A28"/>
          <w:sz w:val="20"/>
        </w:rPr>
        <w:t>Regulatory dependency — Michigan rate cases and constructive regulatory framework are essential to earning allowed returns on $14B+ infrastructure investment [1]</w:t>
      </w:r>
    </w:p>
    <w:p>
      <w:pPr>
        <w:spacing w:before="40" w:after="40"/>
        <w:ind w:left="283"/>
      </w:pPr>
      <w:r>
        <w:rPr>
          <w:rFonts w:ascii="Calibri" w:hAnsi="Calibri"/>
          <w:b/>
          <w:color w:val="4A6B25"/>
          <w:sz w:val="20"/>
        </w:rPr>
        <w:t xml:space="preserve">3. </w:t>
      </w:r>
      <w:r>
        <w:rPr>
          <w:rFonts w:ascii="Calibri" w:hAnsi="Calibri"/>
          <w:b w:val="0"/>
          <w:color w:val="3A4A28"/>
          <w:sz w:val="20"/>
        </w:rPr>
        <w:t>Weather-dependent revenue variability and flat 3-year revenue CAGR mask underlying demand uncertainty despite strong recent quarter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CMS Energy operates a regulated electric and gas utility — a physical-world infrastructure business that AI structurally cannot displace [1]. Electricity demand is actually increasing due to AI data center buildouts, with CEO Rochow highlighting collaborations with Amazon, Google, and Microsoft on data center power needs [2]. The regulated utility model provides contractual revenue recovery and rate-of-return guarantees that are immune to technological substitution. AI Opportunity (0/1): While CMS may deploy AI for grid optimization and predictive maintenance, no quantified AI-driven revenue or cost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CMS Energy Q4 2025 / Full Year 2025 Earnings Release — raised 2026 EPS guidance to $3.83-$3.90, February 2026</w:t>
      </w:r>
    </w:p>
    <w:p>
      <w:pPr>
        <w:spacing w:before="20" w:after="20"/>
        <w:ind w:left="170"/>
      </w:pPr>
      <w:r>
        <w:rPr>
          <w:rFonts w:ascii="Calibri" w:hAnsi="Calibri"/>
          <w:b/>
          <w:color w:val="4A6B25"/>
          <w:sz w:val="15"/>
        </w:rPr>
        <w:t xml:space="preserve">2. </w:t>
      </w:r>
      <w:r>
        <w:rPr>
          <w:rFonts w:ascii="Calibri" w:hAnsi="Calibri"/>
          <w:b w:val="0"/>
          <w:color w:val="3A4A28"/>
          <w:sz w:val="17"/>
        </w:rPr>
        <w:t>Ellig Group interview — 'Powering Progress: Garrick Rochow on Leadership &amp; Innovation at CMS Energy', 2026</w:t>
      </w:r>
    </w:p>
    <w:p>
      <w:pPr>
        <w:spacing w:before="20" w:after="20"/>
        <w:ind w:left="170"/>
      </w:pPr>
      <w:r>
        <w:rPr>
          <w:rFonts w:ascii="Calibri" w:hAnsi="Calibri"/>
          <w:b/>
          <w:color w:val="4A6B25"/>
          <w:sz w:val="15"/>
        </w:rPr>
        <w:t xml:space="preserve">3. </w:t>
      </w:r>
      <w:r>
        <w:rPr>
          <w:rFonts w:ascii="Calibri" w:hAnsi="Calibri"/>
          <w:b w:val="0"/>
          <w:color w:val="3A4A28"/>
          <w:sz w:val="17"/>
        </w:rPr>
        <w:t>CMS Energy ESG and Sustainability Report — net zero carbon 2040 commitment, community impact data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 data for CMS,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CMS (CMS Energy),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