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w:t>
      </w:r>
      <w:r>
        <w:rPr>
          <w:rFonts w:ascii="Calibri" w:hAnsi="Calibri"/>
          <w:b/>
          <w:color w:val="1A2010"/>
          <w:sz w:val="40"/>
        </w:rPr>
        <w:t xml:space="preserve">  Canadian Imperial Bank of Commerce</w:t>
      </w:r>
    </w:p>
    <w:p>
      <w:pPr>
        <w:spacing w:after="120"/>
      </w:pPr>
      <w:r>
        <w:rPr>
          <w:rFonts w:ascii="Calibri" w:hAnsi="Calibri"/>
          <w:b/>
          <w:color w:val="6E8450"/>
          <w:sz w:val="18"/>
        </w:rPr>
        <w:t>DIVIDEND SLEEVE · 2026-05-01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Canada</w:t>
      </w:r>
    </w:p>
    <w:p>
      <w:pPr>
        <w:spacing w:after="80"/>
      </w:pPr>
      <w:r>
        <w:rPr>
          <w:rFonts w:ascii="Calibri" w:hAnsi="Calibri"/>
          <w:b w:val="0"/>
          <w:color w:val="3A4A28"/>
          <w:sz w:val="20"/>
        </w:rPr>
        <w:t>Canadian Imperial Bank of Commerce, a diversified financial institution, provides various financial products and services to personal, business, public sector, and institutional clients in Canada, the United States, and internationally. The company operates through Canadian Personal and Business Banking; Canadian Commercial Banking and Wealth Management; U.S. Commercial Banking and Wealth Management; Capital Markets and Direct Financial Services; and Corporate and Other segments.</w:t>
      </w:r>
    </w:p>
    <w:p>
      <w:r>
        <w:rPr>
          <w:rFonts w:ascii="Calibri" w:hAnsi="Calibri"/>
          <w:b/>
          <w:color w:val="6E8450"/>
          <w:sz w:val="18"/>
        </w:rPr>
        <w:t>50,469 Employees · https://www.cibc.com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CIBC has expanded its U.S. commercial banking and wealth management footprint meaningfully over the past five years, opening new revenue streams beyond its Canadian core [1]. AI Deployment (2/2): CIBC has over 100 AI use cases in production, including the in-house CAI generative AI platform built on Microsoft Azure, which improved document processing accuracy from ~35% to ~95% and is delivering measurable efficiency gains across the bank [2]. Market Share Leadership (1/2): CIBC is the fifth-largest Canadian bank by assets — a meaningful player but not the category leader, holding stable market share in Canadian personal banking [3]. Product Pipeline (0/2): No specific next-generation product launches with defined timelines were identified beyond continued AI platform expansion. R&amp;D Intensity (1/1): CIBC's technology spending is above average among Canadian banks, with significant investment in its Enterprise GenAI platform and cloud migration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CIBC's purpose is 'to help make your ambition a reality' — clear and client-focused but not deeply distinctive or transformative; it could apply to most financial institutions [4]. Community &amp; Charitable Impact (2/2): The CIBC Foundation invested C$66.5 million in communities in FY2024, with signature programs including the CIBC Run for the Cure (Canada's largest single-day breast cancer fundraiser) and Team Next Generation youth mentorship — specific, measurable, and sustained over decades [5]. Employee Retention (0/2): No specific retention or tenure data found. Insider Buying (1/2): Insider activity was roughly neutral in recent quarters, with modest purchases by incoming CEO Harry Culham but no large-scale insider buying pattern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CIBC posts strong financials: ROE of 14.7% approaching the 15% target, robust revenue growth of 13.7% YoY with a 10.1% three-year CAGR, forward P/E of 13.7 well below the 20 target, and profit margin of 33.5% [3]. On the dividend side, CIBC has paid dividends for 158 consecutive years (since 1868), though consecutive years of growth is only 3 following the 2020-2021 COVID dividend freeze. The payout ratio of 41.5% sits just above the 40% target. Five-year dividend growth CAGR of ~4.4% trails the 6% target. D/E excluded as banks use regulatory capital ratios rather than traditional leverage metrics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CIBC demonstrates moderate infinite game qualities — a 158-year operating history proves endurance, and the recent CEO transition to Harry Culham shows strategic continuity. However, the bank's purpose statement is generic, the 2020-2021 dividend freeze reveals finite-game pressure during crises, and competitive language emphasizes 'winning' in wealth management and U.S. expansion rather than serving a cause beyond profit [4][6].</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CIBC's purpose — 'to help make your ambition a reality' — is a marketing tagline, not a Just Cause. It is interchangeable with any bank's value proposition. While CIBC's 158-year history demonstrates institutional endurance, Sinek would note that longevity alone does not constitute a cause; there is no articulated vision of a future state so appealing people would sacrifice to advance it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CIBC maintains a stable organizational culture with consistent leadership succession — Harry Culham's CEO appointment from COO represents orderly internal transition. The bank employs 50,000+ people with no major reports of cultural dysfunction. However, a class action over unpaid overtime for ~30,000 employees suggests systemic issues with employee treatment that undercut trust [6][8].</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CIBC management acknowledges competitive pressure from larger Canadian peers (RBC, TD) and uses it as motivation to improve — the U.S. expansion strategy and wealth management pivot reflect a response to rivals' strengths rather than an attempt to 'beat' them. CEO Culham has framed the strategy as building capabilities rather than winning market share wars [6].</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CIBC has evolved its business mix over the past decade — reducing dependence on Canadian personal banking by expanding U.S. commercial banking and wealth management, and making a significant enterprise AI bet. These are meaningful but incremental pivots, not transformative reinvention. The bank has not abandoned a core business line in service of a greater cause [1][6].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CIBC demonstrated some courage by investing heavily in its Enterprise GenAI platform and U.S. expansion during a period of market uncertainty. However, the 2020-2021 dividend freeze — while prudent — followed the industry herd rather than demonstrating independent conviction. No examples of leadership walking away from profitable but misaligned business lines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CIBC is firing on all cylinders with Q1 FY2026 delivering record revenue of C$8.4 billion, 47% earnings growth, and the 10th consecutive quarter of positive operating leverage at 360 bps [1]. The bank's strategic expansion into U.S. commercial banking and wealth management is diversifying revenue beyond the Canadian housing-dependent core, while 100+ AI use cases in production are delivering real efficiency gains. At a forward P/E of 13.7x with a 2.8% dividend yield backed by 158 years of consecutive payments, CIBC offers compelling value among the Big Five Canadian banks.</w:t>
      </w:r>
    </w:p>
    <w:p>
      <w:pPr>
        <w:spacing w:after="120"/>
      </w:pPr>
      <w:r>
        <w:rPr>
          <w:rFonts w:ascii="Calibri" w:hAnsi="Calibri"/>
          <w:b w:val="0"/>
          <w:color w:val="3A4A28"/>
          <w:sz w:val="20"/>
        </w:rPr>
        <w:t>The bear case centers on CIBC's outsized exposure to Canadian residential real estate — roughly 50% of its loan book — which remains vulnerable if the Canadian housing market corrects further under elevated interest rates. The 2020-2021 dividend freeze, while now reversed, exposed the bank's sensitivity to credit stress. With only 3 consecutive years of dividend growth and a dividend CAGR of 4.4% trailing inflation-adjusted targets, income growth quality lags peers like Royal Bank. Additionally, the $30 million CFTC fine for recordkeeping failures and $1.3 million FINTRAC penalty for anti-money laundering lapses signal compliance weaknesses that could invite larger regulatory actions [7][8].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U.S. commercial banking expansion with fee income growth exceeding 15% annualized, diversifying away from Canadian housing exposure</w:t>
      </w:r>
    </w:p>
    <w:p>
      <w:pPr>
        <w:spacing w:before="40" w:after="40"/>
        <w:ind w:left="283"/>
      </w:pPr>
      <w:r>
        <w:rPr>
          <w:rFonts w:ascii="Calibri" w:hAnsi="Calibri"/>
          <w:b/>
          <w:color w:val="4A6B25"/>
          <w:sz w:val="20"/>
        </w:rPr>
        <w:t xml:space="preserve">2. </w:t>
      </w:r>
      <w:r>
        <w:rPr>
          <w:rFonts w:ascii="Calibri" w:hAnsi="Calibri"/>
          <w:b w:val="0"/>
          <w:color w:val="3A4A28"/>
          <w:sz w:val="20"/>
        </w:rPr>
        <w:t>Enterprise GenAI platform (CAI) scaling to 200+ production use cases by FY2027, potentially generating C$200M+ in annual efficiency savings</w:t>
      </w:r>
    </w:p>
    <w:p>
      <w:pPr>
        <w:spacing w:before="40" w:after="40"/>
        <w:ind w:left="283"/>
      </w:pPr>
      <w:r>
        <w:rPr>
          <w:rFonts w:ascii="Calibri" w:hAnsi="Calibri"/>
          <w:b/>
          <w:color w:val="4A6B25"/>
          <w:sz w:val="20"/>
        </w:rPr>
        <w:t xml:space="preserve">3. </w:t>
      </w:r>
      <w:r>
        <w:rPr>
          <w:rFonts w:ascii="Calibri" w:hAnsi="Calibri"/>
          <w:b w:val="0"/>
          <w:color w:val="3A4A28"/>
          <w:sz w:val="20"/>
        </w:rPr>
        <w:t>Interest rate cuts by the Bank of Canada stimulating mortgage refinancing volumes and relieving credit stress on the Canadian consumer loan book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Canadian residential real estate correction — ~50% loan book concentration in Canadian mortgages exposes CIBC to disproportionate credit losses if housing prices decline 15-20%</w:t>
      </w:r>
    </w:p>
    <w:p>
      <w:pPr>
        <w:spacing w:before="40" w:after="40"/>
        <w:ind w:left="283"/>
      </w:pPr>
      <w:r>
        <w:rPr>
          <w:rFonts w:ascii="Calibri" w:hAnsi="Calibri"/>
          <w:b/>
          <w:color w:val="4A6B25"/>
          <w:sz w:val="20"/>
        </w:rPr>
        <w:t xml:space="preserve">2. </w:t>
      </w:r>
      <w:r>
        <w:rPr>
          <w:rFonts w:ascii="Calibri" w:hAnsi="Calibri"/>
          <w:b w:val="0"/>
          <w:color w:val="3A4A28"/>
          <w:sz w:val="20"/>
        </w:rPr>
        <w:t>Regulatory escalation following CFTC ($30M) and FINTRAC ($1.3M) penalties could result in enhanced supervisory requirements or larger fines for systemic compliance deficiencies</w:t>
      </w:r>
    </w:p>
    <w:p>
      <w:pPr>
        <w:spacing w:before="40" w:after="40"/>
        <w:ind w:left="283"/>
      </w:pPr>
      <w:r>
        <w:rPr>
          <w:rFonts w:ascii="Calibri" w:hAnsi="Calibri"/>
          <w:b/>
          <w:color w:val="4A6B25"/>
          <w:sz w:val="20"/>
        </w:rPr>
        <w:t xml:space="preserve">3. </w:t>
      </w:r>
      <w:r>
        <w:rPr>
          <w:rFonts w:ascii="Calibri" w:hAnsi="Calibri"/>
          <w:b w:val="0"/>
          <w:color w:val="3A4A28"/>
          <w:sz w:val="20"/>
        </w:rPr>
        <w:t>Fintech and AI-native competitors compressing margins in personal banking and wealth advisory as robo-advisors and digital lenders capture younger demographics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CIBC's core banking business — mortgages, commercial lending, wealth management, capital markets — is protected by heavy regulation (OSFI, OCC), physical branch infrastructure, and deep client switching costs. However, fintech and AI-native lending platforms pose a moderate substitution risk in personal banking and advisory services; robo-advisors and AI-powered trading tools could compress margins in wealth management and capital markets over time [2][7]. AI Opportunity (1/1): CIBC is generating measurable value from AI with 100+ production use cases, the in-house CAI generative AI platform, and Q1 FY2026 results citing AI-driven efficiency gains contributing to 360 bps of positive operating leverage — the 10th consecutive quarter of positive operating leverage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CIBC Q1 FY2026 Earnings Release and Investor Presentation, February 2026</w:t>
      </w:r>
    </w:p>
    <w:p>
      <w:pPr>
        <w:spacing w:before="20" w:after="20"/>
        <w:ind w:left="170"/>
      </w:pPr>
      <w:r>
        <w:rPr>
          <w:rFonts w:ascii="Calibri" w:hAnsi="Calibri"/>
          <w:b/>
          <w:color w:val="4A6B25"/>
          <w:sz w:val="15"/>
        </w:rPr>
        <w:t xml:space="preserve">2. </w:t>
      </w:r>
      <w:r>
        <w:rPr>
          <w:rFonts w:ascii="Calibri" w:hAnsi="Calibri"/>
          <w:b w:val="0"/>
          <w:color w:val="3A4A28"/>
          <w:sz w:val="17"/>
        </w:rPr>
        <w:t>Microsoft Customer Story — CIBC's Blueprint for Successful AI Transformation, January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CM key statistics,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CIBC Corporate Profile and Purpose Statement, cibc.com, accessed May 2026</w:t>
      </w:r>
    </w:p>
    <w:p>
      <w:pPr>
        <w:spacing w:before="20" w:after="20"/>
        <w:ind w:left="170"/>
      </w:pPr>
      <w:r>
        <w:rPr>
          <w:rFonts w:ascii="Calibri" w:hAnsi="Calibri"/>
          <w:b/>
          <w:color w:val="4A6B25"/>
          <w:sz w:val="15"/>
        </w:rPr>
        <w:t xml:space="preserve">5. </w:t>
      </w:r>
      <w:r>
        <w:rPr>
          <w:rFonts w:ascii="Calibri" w:hAnsi="Calibri"/>
          <w:b w:val="0"/>
          <w:color w:val="3A4A28"/>
          <w:sz w:val="17"/>
        </w:rPr>
        <w:t>CIBC 2024 Sustainability Report and Public Accountability Statement, March 2025</w:t>
      </w:r>
    </w:p>
    <w:p>
      <w:pPr>
        <w:spacing w:before="20" w:after="20"/>
        <w:ind w:left="170"/>
      </w:pPr>
      <w:r>
        <w:rPr>
          <w:rFonts w:ascii="Calibri" w:hAnsi="Calibri"/>
          <w:b/>
          <w:color w:val="4A6B25"/>
          <w:sz w:val="15"/>
        </w:rPr>
        <w:t xml:space="preserve">6. </w:t>
      </w:r>
      <w:r>
        <w:rPr>
          <w:rFonts w:ascii="Calibri" w:hAnsi="Calibri"/>
          <w:b w:val="0"/>
          <w:color w:val="3A4A28"/>
          <w:sz w:val="17"/>
        </w:rPr>
        <w:t>CIBC Announces Senior Executive Leadership Changes, August 2025</w:t>
      </w:r>
    </w:p>
    <w:p>
      <w:pPr>
        <w:spacing w:before="20" w:after="20"/>
        <w:ind w:left="170"/>
      </w:pPr>
      <w:r>
        <w:rPr>
          <w:rFonts w:ascii="Calibri" w:hAnsi="Calibri"/>
          <w:b/>
          <w:color w:val="4A6B25"/>
          <w:sz w:val="15"/>
        </w:rPr>
        <w:t xml:space="preserve">7. </w:t>
      </w:r>
      <w:r>
        <w:rPr>
          <w:rFonts w:ascii="Calibri" w:hAnsi="Calibri"/>
          <w:b w:val="0"/>
          <w:color w:val="3A4A28"/>
          <w:sz w:val="17"/>
        </w:rPr>
        <w:t>CFTC Orders CIBC to Pay $30 Million for Recordkeeping and Supervision Failures, 2024</w:t>
      </w:r>
    </w:p>
    <w:p>
      <w:pPr>
        <w:spacing w:before="20" w:after="20"/>
        <w:ind w:left="170"/>
      </w:pPr>
      <w:r>
        <w:rPr>
          <w:rFonts w:ascii="Calibri" w:hAnsi="Calibri"/>
          <w:b/>
          <w:color w:val="4A6B25"/>
          <w:sz w:val="15"/>
        </w:rPr>
        <w:t xml:space="preserve">8. </w:t>
      </w:r>
      <w:r>
        <w:rPr>
          <w:rFonts w:ascii="Calibri" w:hAnsi="Calibri"/>
          <w:b w:val="0"/>
          <w:color w:val="3A4A28"/>
          <w:sz w:val="17"/>
        </w:rPr>
        <w:t>FINTRAC Administrative Monetary Penalty on CIBC for AML Non-Compliance, December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