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CNC</w:t>
      </w:r>
      <w:r>
        <w:rPr>
          <w:rFonts w:ascii="Calibri" w:hAnsi="Calibri"/>
          <w:b/>
          <w:color w:val="1A2010"/>
          <w:sz w:val="40"/>
        </w:rPr>
        <w:t xml:space="preserve">  Centene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2026-03-30 · Inspire: -49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55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Healthcare Plans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Centene Corporation is a managed care company providing programs and services to government-sponsored healthcare programs, focusing on under-insured and uninsured individuals. The company offers Medicaid, Medicare, ACA marketplace, and specialty services across all 50 states.</w:t>
      </w:r>
    </w:p>
    <w:p>
      <w:r>
        <w:rPr>
          <w:rFonts w:ascii="Calibri" w:hAnsi="Calibri"/>
          <w:b/>
          <w:color w:val="6E8450"/>
          <w:sz w:val="18"/>
        </w:rPr>
        <w:t>65,600 Employees · https://www.centene.com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Centene has deployed AI meaningfully through its HALO predictive analytics program (98% accuracy identifying high-risk disorders) and Colloquium NLP model for member correspondence, with a formal AI Governance Committee reporting to the Board [1][3]. R&amp;D intensity is moderate for a managed care company; the company is shifting toward value-based care models and digital health under CEO Sarah London's technology-focused leadership. However, innovation is incremental rather than market-defining, and the company lacks a breakthrough product pipeline beyond operational efficiency tools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Centene's mission to transform healthcare for underserved communities provides a solid purpose floor, and CEO Sarah London was named one of Modern Healthcare's 100 Most Influential People in 2025 [3]. Glassdoor rating of 3.7/5 with 68% recommending the company to a friend reflects decent but not exceptional employee sentiment [3]. However, over $1 billion in Medicaid overbilling settlements across 20+ states severely undermines the inspirational narrative of serving vulnerable populations, and employee reviews note increasing political culture post-leadership changes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Centene reported a net loss in 2025 with diluted loss per share of $(13.53), though adjusted EPS was $2.08 and 2026 guidance targets &gt;$3.00 adjusted EPS (40%+ growth) [1]. Forward P/E of 7.9 is attractive, D/E ratio of 90.6% is manageable for the sector, but negative profit margin of -3.8% and negative ROE of -28.7% reflect the 2025 reset year [2]. Operating cash flow of $5.1 billion demonstrates underlying business strength, and premium revenue guidance of $170-174B for 2026 shows the core business remains massive despite Medicaid membership declines of 5-6%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Centene demonstrates mixed infinite game characteristics — its mission of serving underserved populations aligns with a just cause, but the $1B+ in Medicaid fraud settlements and aggressive political spending undermine trust and suggest short-term profit prioritization over long-term stakeholder relationships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Centene's stated purpose of transforming healthcare for underserved and uninsured populations is compelling and enduring. The company serves 28+ million members across government-sponsored programs, addressing genuine societal need [1]. However, the disconnect between this mission and widespread Medicaid overbilling allegations across 20+ states undermines credibility of the just cause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Glassdoor's 3.7/5 rating and 68% recommendation rate suggest adequate but not exceptional trust [3]. Employee reviews cite a positive team-oriented environment but note increasing political culture and lack of transparency after leadership changes. CEO compensation of $20.6M is high relative to the company's current profitability challenges, which may strain internal trust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Centene competes against UnitedHealth, Elevance, and Molina in managed care. The company's 2026 guidance of 40%+ EPS growth positions it as a relative outperformer versus peers forecasting earnings declines [1]. However, the company's competitive positioning relies heavily on government contracts and political relationships rather than pure operational superiority.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CEO Sarah London is actively reshaping Centene's portfolio — divesting Magellan Health businesses, shifting the business mix toward Medicare while managing Medicaid and Marketplace declines [1]. The strategic pivot from revenue growth to profitability demonstrates willingness to adapt. The company's scale across all 50 states provides optionality for future government program shifts.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Centene's $26.9M+ in political donations across 33 states and the pattern of Medicaid overbilling settlements suggest a company that has historically prioritized regulatory capture over ethical leadership [4]. The $1.25 billion settlement reserve, while Centene admitted no wrongdoing, reveals governance gaps. London's leadership represents a cultural reset, but the company has yet to fully demonstrate reformed governance practices.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Centene is a managed care turnaround story trading at a steep discount (7.9x forward earnings) after a challenging 2025 that produced net losses and a $(13.53) diluted EPS [1]. The company's 2026 guidance of &gt;$3.00 adjusted EPS represents 40%+ growth, positioning it as the strongest recovery candidate among major managed care peers [1]. With $5.1 billion in operating cash flow and a strategic pivot toward Medicare profitability under CEO Sarah London, the underlying business engine remains powerful.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Key concerns center on revenue contraction (guidance of $170-174B vs. $194.8B in 2025) driven by Medicaid membership declines of 5-6% and Magellan divestitures [1]. The company's governance track record — including $1B+ in Medicaid fraud settlements and heavy political spending — introduces ongoing regulatory and reputational risk [4]. At current valuations, the stock prices in significant pessimism, but the path to earnings recovery requires flawless execution on margin improvement across Medicaid, Marketplace, and Medicare segments.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2026 adjusted EPS guidance of &gt;$3.00 representing 40%+ YoY growth, with Q1 2026 earnings on April 28 as the first validation checkpoint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Medicare Advantage segment approaching breakeven with meaningful margin recovery expected through 2026, diversifying revenue mix beyond Medicaid dependence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Portfolio optimization through Magellan Health divestitures, freeing capital for share buybacks and debt reduction while simplifying the business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Medicaid membership erosion beyond the guided 5-6% decline if redetermination processes accelerate or state contract losses occur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Regulatory and legal overhang from $1B+ in historical Medicaid fraud settlements; new state investigations or federal enforcement actions could resurface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ACA marketplace revenue contraction as premium affordability deteriorates and healthier members exit the risk pool, pressuring the Health Benefits Ratio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is a net enabler for Centene's managed care business rather than a disruptor. The company's HALO and NEST predictive models improve patient outcomes and reduce costs, while the Colloquium NLP system automates member correspondence at scale [3]. AI-driven claims processing, fraud detection, and population health management create operational leverage across Centene's 28+ million members. Telehealth and remote monitoring trends require adaptation but Centene is actively investing in these capabilities. The primary risk is that tech-native competitors could build superior AI-driven care platforms, but Centene's government contract relationships and regulatory moats provide significant protection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Centene Corporation 2025 Full Year Results and 2026 Guidance, Investor Relations Press Release, February 6,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Yahoo Finance — CNC key statistics,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Centene AI Innovation and Leadership — Emerj Research, PitchGrade AI Use Cases, Glassdoor Reviews,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California Attorney General Centene $215M Settlement; KFF Health News Medicaid Settlements Tracker; Good Jobs First Violation Tracker, accessed March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