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CNI</w:t>
      </w:r>
      <w:r>
        <w:rPr>
          <w:rFonts w:ascii="Calibri" w:hAnsi="Calibri"/>
          <w:b/>
          <w:color w:val="1A2010"/>
          <w:sz w:val="40"/>
        </w:rPr>
        <w:t xml:space="preserve">  Canadian National Railway Company</w:t>
      </w:r>
    </w:p>
    <w:p>
      <w:pPr>
        <w:spacing w:after="120"/>
      </w:pPr>
      <w:r>
        <w:rPr>
          <w:rFonts w:ascii="Calibri" w:hAnsi="Calibri"/>
          <w:b/>
          <w:color w:val="6E8450"/>
          <w:sz w:val="18"/>
        </w:rPr>
        <w:t>DIVIDEND SLEEVE · 2026-04-23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Canada</w:t>
      </w:r>
    </w:p>
    <w:p>
      <w:pPr>
        <w:spacing w:after="80"/>
      </w:pPr>
      <w:r>
        <w:rPr>
          <w:rFonts w:ascii="Calibri" w:hAnsi="Calibri"/>
          <w:b w:val="0"/>
          <w:color w:val="3A4A28"/>
          <w:sz w:val="20"/>
        </w:rPr>
        <w:t>Canadian National Railway operates the largest rail network in Canada and the only transcontinental network in North America, spanning approximately 20,000 route miles connecting the Atlantic and Pacific oceans through Canada and the U.S. Midwest. CN transports petroleum, grain, forest products, metals, automotive, and intermodal freight across three coasts.</w:t>
      </w:r>
    </w:p>
    <w:p>
      <w:r>
        <w:rPr>
          <w:rFonts w:ascii="Calibri" w:hAnsi="Calibri"/>
          <w:b/>
          <w:color w:val="6E8450"/>
          <w:sz w:val="18"/>
        </w:rPr>
        <w:t>23,839 Employees · https://www.cn.ca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CN delivered C$17.3B revenue in 2025 (up 2% YoY) with diluted EPS growth of 8% to C$7.57, demonstrating consistent execution if not transformative growth [1]. The company has expanded intermodal capabilities and logistics park infrastructure over the past five years. AI Deployment (2/2): CN's seven-year co-innovation partnership with Google Cloud provides direct access to AI and machine learning capabilities, building a 'digital nervous system' for predictive maintenance, network optimization, and fuel efficiency across its 20,000-mile network [2]. Market Share (1/2): CN operates the only transcontinental rail network in North America with strong competitive positioning, but BNSF and Union Pacific provide formidable competition on key corridors; CN's operating ratio improved but remains behind industry leader CSX [1]. Pipeline (0/2): No transformative next-gen products announced; growth is incremental through volume recovery and pricing rather than category creation [1]. R&amp;D Intensity (1/1): Significant investment in digital infrastructure and the Google Cloud partnership represents above-average technology spending for the railroad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CN's mission of 'moving the economy' as critical infrastructure connecting three coasts reflects genuine intentionality — the company positions itself as essential to North American trade rather than just a freight hauler [3]. CEO Tracy Robinson's 'Make the Plan, Run the Plan, Sell the Plan' operating philosophy is clear and distinctively articulated [2]. Community Impact (2/2): CN employs 23,839 people across Canada and the U.S., operates the CN Stronger Communities Fund investing in local communities along its network, and has committed to net-zero emissions by 2050 with a 43% carbon intensity reduction target by 2030 [3]. The company invested in battery-electric locomotives and 50 zero-emission trucks [3]. Employee Retention (1/2): Stable workforce with leadership continuity, though railroad labor relations are historically contentious with periodic strike threats and mandatory arbitration [2]. Insider Buying (1/2): Management has meaningful equity exposure through compensation structures, though no evidence of significant open-market insider purchases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 delivers exceptional financial infrastructure for a capital-intensive railroad. Forward P/E of 17.0x is reasonable for a regulated monopoly-like franchise [5]. ROE of 22.2% reflects strong capital efficiency, and profit margin of 27.3% demonstrates pricing power in a duopoly/oligopoly market [5]. D/E of 100.3% is elevated but manageable for an infrastructure business with predictable cash flows [5]. Revenue growth is modest at 2.4% YoY with a 5yr CAGR near 0.4%, reflecting the mature nature of the railroad industry [5]. Dividend profile is exceptional: 29 consecutive years of payment, 27 consecutive years of growth, 8.8% 5yr dividend CAGR, and 46.9% payout ratio providing room for continued increases [5]. Liquidity easily cleared at $193.9M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CN plays a naturally infinite game as critical infrastructure — railroads operate on multi-decade investment horizons by necessity. Tracy Robinson's disciplined operating philosophy and the company's 107-year history demonstrate endurance, though the focus on operating ratio and quarterly earnings optimization reflects some finite game pressure from Wall Street.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CN's purpose of 'moving the economy' as the only transcontinental railroad in North America is genuine and validated by 107 years of continuous operation through world wars, depressions, and trade disruptions [3]. The cause survived privatization in 1995, multiple CEO transitions, and the failed Kansas City Southern merger attempt. However, the cause is more functional than aspirational — it describes what CN does rather than a vision of a better future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 maintains stable operations with 23,839 employees and leadership continuity under Tracy Robinson since 2022 [2]. The October 2025 executive appointments of Whitehead (COO) and Drysdale (CCO) suggest structured succession planning. However, railroad labor relations are inherently adversarial — CN has faced strike threats and contract disputes, and the operating culture emphasizes precision scheduled railroading which can create pressure on front-line workers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CN's competitive positioning acknowledges the strengths of rivals like BNSF (operational efficiency), Union Pacific (Western corridor dominance), and CSX (industry-leading operating ratio). The Google Cloud partnership was motivated by recognizing that technology leadership required external expertise rather than building everything internally, reflecting an improvement-oriented competitive mindset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CN's 1995 privatization from a government-owned railroad to a publicly traded company was a genuine existential transformation that completely changed the company's operating culture and financial discipline [3]. The failed 2021 attempt to acquire Kansas City Southern showed willingness to pursue transformative deals, though the inability to close raises questions. The digital transformation through Google Cloud represents incremental rather than existential flexibility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Tracy Robinson's appointment as the first female CEO of a Canadian railroad and her restructuring of senior management in October 2025 demonstrate leadership conviction [2]. CN's commitment to net-zero by 2050 with specific intermediate targets (43% intensity reduction by 2030) and investment in battery-electric locomotives shows willingness to make costly long-term bets on sustainability [3]. However, the 2% revenue growth suggests prioritizing steady returns over ambitious reinvestment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National Railway is a best-in-class infrastructure franchise operating the only transcontinental rail network in North America with 20,000 route miles, generating C$17.3B in 2025 revenue with a 27.3% profit margin and 22.2% ROE [1]. The company delivered 8% EPS growth to C$7.57 in 2025 with Q4 adjusted earnings up 12%, while maintaining a 27-year dividend growth streak with an 8.8% 5yr CAGR and manageable 46.9% payout ratio [1]. At 17.0x forward P/E, CN trades at a reasonable valuation for a regulated infrastructure monopoly with predictable cash flows, and the Google Cloud AI partnership provides a technology edge over railroad peers [2][5].</w:t>
      </w:r>
    </w:p>
    <w:p>
      <w:pPr>
        <w:spacing w:after="120"/>
      </w:pPr>
      <w:r>
        <w:rPr>
          <w:rFonts w:ascii="Calibri" w:hAnsi="Calibri"/>
          <w:b w:val="0"/>
          <w:color w:val="3A4A28"/>
          <w:sz w:val="20"/>
        </w:rPr>
        <w:t>The bear case centers on CN's anemic revenue growth — 2.4% YoY and near-zero 5yr CAGR reflect a mature industry with limited volume upside in a tariff-uncertain trade environment [1]. CN pulled its 2024-2026 outlook amid tariff uncertainty, signaling that management lacks visibility on near-term demand [1]. D/E of 100.3% is elevated for a capital-intensive business with $21.6B in total debt against limited cash reserves of $350M [5]. The PEG ratio of 2.52x suggests the stock is fully valued relative to its growth rate. Railroad labor disruptions remain a recurring risk, and Canadian regulatory changes could constrain pricing power. Climate transition costs — battery-electric locomotives, zero-emission trucks, emission reduction targets — represent significant capital deployment with uncertain returns over the medium term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 AI partnership driving measurable improvements in network optimization, predictive maintenance, and fuel efficiency across 20,000 route miles, with potential to close the operating ratio gap versus industry leader CSX [2]</w:t>
      </w:r>
    </w:p>
    <w:p>
      <w:pPr>
        <w:spacing w:before="40" w:after="40"/>
        <w:ind w:left="283"/>
      </w:pPr>
      <w:r>
        <w:rPr>
          <w:rFonts w:ascii="Calibri" w:hAnsi="Calibri"/>
          <w:b/>
          <w:color w:val="4A6B25"/>
          <w:sz w:val="20"/>
        </w:rPr>
        <w:t xml:space="preserve">2. </w:t>
      </w:r>
      <w:r>
        <w:rPr>
          <w:rFonts w:ascii="Calibri" w:hAnsi="Calibri"/>
          <w:b w:val="0"/>
          <w:color w:val="3A4A28"/>
          <w:sz w:val="20"/>
        </w:rPr>
        <w:t>Q1 2026 earnings beat expectations with EPS of $1.85 vs $1.78 estimate, suggesting operational momentum continuing into 2026 with potential for guidance improvement [1]</w:t>
      </w:r>
    </w:p>
    <w:p>
      <w:pPr>
        <w:spacing w:before="40" w:after="40"/>
        <w:ind w:left="283"/>
      </w:pPr>
      <w:r>
        <w:rPr>
          <w:rFonts w:ascii="Calibri" w:hAnsi="Calibri"/>
          <w:b/>
          <w:color w:val="4A6B25"/>
          <w:sz w:val="20"/>
        </w:rPr>
        <w:t xml:space="preserve">3. </w:t>
      </w:r>
      <w:r>
        <w:rPr>
          <w:rFonts w:ascii="Calibri" w:hAnsi="Calibri"/>
          <w:b w:val="0"/>
          <w:color w:val="3A4A28"/>
          <w:sz w:val="20"/>
        </w:rPr>
        <w:t>27-year consecutive dividend growth streak with 8.8% 5yr CAGR and 46.9% payout ratio providing significant runway for continued dividend increases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uncertainty causing CN to pull its 2024-2026 outlook — trade policy disruptions could materially reduce cross-border freight volumes on CN's transcontinental network [1]</w:t>
      </w:r>
    </w:p>
    <w:p>
      <w:pPr>
        <w:spacing w:before="40" w:after="40"/>
        <w:ind w:left="283"/>
      </w:pPr>
      <w:r>
        <w:rPr>
          <w:rFonts w:ascii="Calibri" w:hAnsi="Calibri"/>
          <w:b/>
          <w:color w:val="4A6B25"/>
          <w:sz w:val="20"/>
        </w:rPr>
        <w:t xml:space="preserve">2. </w:t>
      </w:r>
      <w:r>
        <w:rPr>
          <w:rFonts w:ascii="Calibri" w:hAnsi="Calibri"/>
          <w:b w:val="0"/>
          <w:color w:val="3A4A28"/>
          <w:sz w:val="20"/>
        </w:rPr>
        <w:t>Near-zero 5yr revenue CAGR and 2.4% YoY growth reflect structural maturity in railroad volumes, limiting upside to pricing and efficiency improvements [5]</w:t>
      </w:r>
    </w:p>
    <w:p>
      <w:pPr>
        <w:spacing w:before="40" w:after="40"/>
        <w:ind w:left="283"/>
      </w:pPr>
      <w:r>
        <w:rPr>
          <w:rFonts w:ascii="Calibri" w:hAnsi="Calibri"/>
          <w:b/>
          <w:color w:val="4A6B25"/>
          <w:sz w:val="20"/>
        </w:rPr>
        <w:t xml:space="preserve">3. </w:t>
      </w:r>
      <w:r>
        <w:rPr>
          <w:rFonts w:ascii="Calibri" w:hAnsi="Calibri"/>
          <w:b w:val="0"/>
          <w:color w:val="3A4A28"/>
          <w:sz w:val="20"/>
        </w:rPr>
        <w:t>D/E of 100.3% with $21.6B total debt against $350M cash creates refinancing risk if interest rates remain elevated, while capital-intensive sustainability investments require ongoing heavy spending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Railroads are IMMUNE to AI displacement — you cannot digitize 20,000 miles of physical track, rolling stock, and the logistics of moving bulk commodities across a continent [1]. CN's network is a natural monopoly with barriers to entry that no software can replicate. AI cannot substitute for moving grain, petroleum, and intermodal containers by rail. Analysts see zero AI substitution risk for the core business; if anything, AI-driven economic growth (data center construction, increased manufacturing) drives higher freight volumes [2]. AI Opportunity (1/1): CN's Google Cloud partnership generates measurable operational value through predictive maintenance, network optimization, and fuel efficiency algorithms, representing quantifiable AI-driven cost savings across the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 Q4 2025 and Full-Year 2025 Earnings Release — C$17.3B revenue, 8% EPS growth, January 30, 2026</w:t>
      </w:r>
    </w:p>
    <w:p>
      <w:pPr>
        <w:spacing w:before="20" w:after="20"/>
        <w:ind w:left="170"/>
      </w:pPr>
      <w:r>
        <w:rPr>
          <w:rFonts w:ascii="Calibri" w:hAnsi="Calibri"/>
          <w:b/>
          <w:color w:val="4A6B25"/>
          <w:sz w:val="15"/>
        </w:rPr>
        <w:t xml:space="preserve">2. </w:t>
      </w:r>
      <w:r>
        <w:rPr>
          <w:rFonts w:ascii="Calibri" w:hAnsi="Calibri"/>
          <w:b w:val="0"/>
          <w:color w:val="3A4A28"/>
          <w:sz w:val="17"/>
        </w:rPr>
        <w:t>CN AI Strategy — Google Cloud 7-year co-innovation partnership, digital nervous system, leadership appointments October 2025</w:t>
      </w:r>
    </w:p>
    <w:p>
      <w:pPr>
        <w:spacing w:before="20" w:after="20"/>
        <w:ind w:left="170"/>
      </w:pPr>
      <w:r>
        <w:rPr>
          <w:rFonts w:ascii="Calibri" w:hAnsi="Calibri"/>
          <w:b/>
          <w:color w:val="4A6B25"/>
          <w:sz w:val="15"/>
        </w:rPr>
        <w:t xml:space="preserve">3. </w:t>
      </w:r>
      <w:r>
        <w:rPr>
          <w:rFonts w:ascii="Calibri" w:hAnsi="Calibri"/>
          <w:b w:val="0"/>
          <w:color w:val="3A4A28"/>
          <w:sz w:val="17"/>
        </w:rPr>
        <w:t>CN Sustainability and ESG — net-zero 2050 commitment, 43% emission intensity reduction by 2030, battery-electric locomotive investment</w:t>
      </w:r>
    </w:p>
    <w:p>
      <w:pPr>
        <w:spacing w:before="20" w:after="20"/>
        <w:ind w:left="170"/>
      </w:pPr>
      <w:r>
        <w:rPr>
          <w:rFonts w:ascii="Calibri" w:hAnsi="Calibri"/>
          <w:b/>
          <w:color w:val="4A6B25"/>
          <w:sz w:val="15"/>
        </w:rPr>
        <w:t xml:space="preserve">4. </w:t>
      </w:r>
      <w:r>
        <w:rPr>
          <w:rFonts w:ascii="Calibri" w:hAnsi="Calibri"/>
          <w:b w:val="0"/>
          <w:color w:val="3A4A28"/>
          <w:sz w:val="17"/>
        </w:rPr>
        <w:t>Nasdaq — CNI earnings forecasts and financial calendar,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CNI (Canadian National Railway),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