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CNP</w:t>
      </w:r>
      <w:r>
        <w:rPr>
          <w:rFonts w:ascii="Calibri" w:hAnsi="Calibri"/>
          <w:b/>
          <w:color w:val="1A2010"/>
          <w:sz w:val="40"/>
        </w:rPr>
        <w:t xml:space="preserve">  CenterPoint Energy, Inc.</w:t>
      </w:r>
    </w:p>
    <w:p>
      <w:pPr>
        <w:spacing w:after="120"/>
      </w:pPr>
      <w:r>
        <w:rPr>
          <w:rFonts w:ascii="Calibri" w:hAnsi="Calibri"/>
          <w:b/>
          <w:color w:val="6E8450"/>
          <w:sz w:val="18"/>
        </w:rPr>
        <w:t>DIVIDEND SLEEVE · 2026-03-31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CenterPoint Energy is a public utility holding company serving approximately 2.86 million metered customers across electric and natural gas segments in Texas, Indiana, Minnesota, Ohio, and other states. The Electric segment provides transmission and distribution services and generation assets. The Natural Gas segment provides intrastate gas sales, transportation, and distribution, plus home appliance maintenance services.</w:t>
      </w:r>
    </w:p>
    <w:p>
      <w:r>
        <w:rPr>
          <w:rFonts w:ascii="Calibri" w:hAnsi="Calibri"/>
          <w:b/>
          <w:color w:val="6E8450"/>
          <w:sz w:val="18"/>
        </w:rPr>
        <w:t>8,794 Employees · https://www.centerpointenergy.com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CenterPoint has executed its Greater Houston Resiliency Initiative (GHRI) following Hurricane Beryl — installing 26,000+ storm-resilient poles, undergrounding 400+ miles of lines, and deploying 5,150+ automated reliability devices [3]. This is strong operational execution but represents infrastructure hardening rather than innovation. AI Deployment (2/2): CenterPoint is actively deploying AI with measurable results through the Palantir-Nvidia 'Chain Reaction' platform for AI-powered data center construction planning, Technosylva AI for wildfire risk monitoring, and Pano AI for real-time infrastructure threat detection [2]. These are shipping AI products with specific operational applications. Market Share (1/2): CenterPoint serves as the regulated monopoly utility in its service territories, which is a strong but non-competitive position. Peak load demand forecast increased by 50% (10 additional GW by 2029), two years ahead of prior estimates, reflecting growing market [1]. Pipeline (0/2): No next-generation products or services with specific launch timelines beyond capital investment in existing infrastructure. The $6.8B 2026 capex plan and $65B long-term plan are maintenance and expansion of existing grid infrastructure. R&amp;D Intensity (1/1): Significant technology partnerships (Palantir, Nvidia, Technosylva, Climavision) and the Resiliency Technology Summit demonstrate above-average tech investment for a utility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CenterPoint's purpose centers on delivering safe, reliable, and affordable energy to customers — essential but not distinctive among utilities [2]. CEO Jason Wells emphasizes 'innovation, continuous improvement and accountability,' which is a clear operational philosophy but not a transformative Just Cause. Community Impact (2/2): CenterPoint serves 2.86 million metered customers with essential utility service. The company's $5B Houston resiliency investment directly addresses community safety after Hurricane Beryl's 22 storm-related deaths [3]. It maintains sustainability programs with emissions down 50% from 2018 base year and was included in the Dow Jones Sustainability Index [3]. Employee Retention (1/2): Glassdoor rating of 3.6/5 with 69% recommending to a friend is above the utility industry average [2]. Some criticism of the return-to-office mandate under new CEO and cultural changes, but generally stable workforce with 8,794 employees. Insider Buying (1/2): CEO Wells has $9.23M total compensation (87.6% equity), creating meaningful alignment. No specific personal buying data found, but equity-heavy compensation structure demonstrates skin in the game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CenterPoint's financial profile is solid for a regulated utility, with strong revenue growth offset by utility-typical leverage. Revenue of $9.36B grew 10.7% YoY, and non-GAAP EPS of $1.76 represented 9% growth with 2026 guidance of $1.89-$1.91 (8% growth) [1]. D/E of 206.6% is high but typical for capital-intensive utilities, scoring 0.41 on the metric. ROE of 9.6% is below the 15% target but acceptable for regulated utilities. Forward P/E of 20.65 is near the 20 target. Profit margin of 11.2% reflects regulated utility economics. Dividends are the crown jewel — paid consecutively since 1962 (64 years), with 4 years of growth since the 2020-2021 cut, and 3.5% 5yr CAGR [1]. Payout ratio of 55% is manageable with guided 7-9% EPS growth supporting continued increases. Rate-base growth above 11% through 2030 underpins long-term earnings visibility [1]. Liquidity floor easily cleared: 5.5M avg vol x $42.99 = $235M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CenterPoint Energy demonstrates several infinite game qualities — a 160-year operating history, essential service mission, and long-term capital investment orientation driven by regulated utility economics. The Hurricane Beryl crisis tested leadership and the company's response, while imperfect, showed commitment to long-term resilience over short-term cost savings.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CenterPoint's cause — delivering safe, reliable, affordable energy to nearly 3 million customers — is essential infrastructure that has endured for 160 years (founded 1866) [1]. While not as inspiring as a tech company's vision, the cause has been validated by over a century of consistent execution through wars, depressions, deregulation, and natural disasters. The $5B Houston resiliency investment after Hurricane Beryl demonstrates the cause driving strategic capital allocation. The cause survived the Beryl crisis and multiple leadership transitions.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3.6/5 with 69% recommending to a friend is adequate for a utility [2]. Some employees have criticized CEO Wells for 'impacting culture in a negative way' with return-to-office mandates, and reviews cite lack of clear direction. However, 8,794 employees with generally stable employment and a 160-year corporate history suggest institutional stability. The Beryl response — restoring power to 2.6M customers — required significant workforce coordination.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CenterPoint's hosting of the Resiliency Technology Summit with seven global AI and analytics leaders (Palantir, Pano AI, Technosylva, Climavision, Neara, Urbint) demonstrates an infinite-game approach to competition — actively seeking external partners whose capabilities complement and improve CenterPoint's own operations [2]. Rather than viewing technology companies as threats, CenterPoint positions them as enablers of grid resilience.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CenterPoint has evolved incrementally over its 160-year history — from a local gas company to a diversified electric and gas utility, divesting its midstream operations (Enable Midstream, sold 2022) to refocus on regulated utility operations [1]. The pivot to AI-enabled grid management and the $5B Houston resiliency initiative show adaptation to new realities. However, the core business model — regulated utility providing essential energy service — has remained fundamentally unchanged.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After Hurricane Beryl's devastating impact (2.6M outages, 22 deaths, $100M+ lawsuits), CenterPoint committed to a $5B Houston resiliency investment and settled the rate case by lowering customer bills rather than pushing through the rate increase it had requested before the storm [3]. This represents choosing long-term community trust over short-term earnings. The $6.8B annual capex plan and $65B long-term plan demonstrate willingness to invest heavily in future capability. However, the pre-Beryl underinvestment in resilience that caused the crisis suggests courage emerged from necessity rather than foresight.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CenterPoint Energy is a regulated utility offering predictable 7-9% annual EPS growth with a 2.14% dividend yield, underpinned by a $65B long-term capital plan and rate-base growth above 11% through 2030 [1]. The AI-driven data center boom is a structural tailwind — peak load demand forecast increased 50% to an additional 10 GW by 2029, two years ahead of schedule [1]. Non-GAAP EPS of $1.76 in 2025 grew 9%, with 2026 guidance of $1.89-$1.91 (8% growth) and long-term 7-9% annual growth through 2035. The company's updated tax profile (near-zero federal cash taxes through 2035) improves credit metrics by 60-70bps and supports $1B of incremental customer-driven capital investment without additional equity [1]. At 20.7x forward P/E, CNP is fairly valued for a utility with above-average growth visibility.</w:t>
      </w:r>
    </w:p>
    <w:p>
      <w:pPr>
        <w:spacing w:after="120"/>
      </w:pPr>
      <w:r>
        <w:rPr>
          <w:rFonts w:ascii="Calibri" w:hAnsi="Calibri"/>
          <w:b w:val="0"/>
          <w:color w:val="3A4A28"/>
          <w:sz w:val="20"/>
        </w:rPr>
        <w:t>The bear case centers on Hurricane Beryl fallout and structural utility risks. The $100M+ class-action lawsuits, Texas AG criminal investigation, and PUC scrutiny from the 2.6 million customer outages and 22 associated deaths create material legal and regulatory liability [3]. D/E of 207% reflects significant leverage typical of utilities but creates interest rate sensitivity during a period of elevated rates. The 5yr revenue CAGR of just 0.1% ($9.32B in 2022 to $9.36B in 2025) shows minimal organic top-line growth despite the earnings growth driven by cost management and rate increases. ROE of 9.6% is below the 15% target, reflecting regulated return constraints. Glassdoor reviews suggest cultural deterioration under CEO Wells, with criticism of return-to-office mandates and lack of direction [2]. Dividend growth of 3.5% 5yr CAGR barely exceeds inflation after the 2020-2021 cut from $1.15 to $0.65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data center load growth — peak demand forecast increased 50% (10 additional GW by 2029), two years ahead of plan, directly expanding CenterPoint's rate base and regulated earnings [1]</w:t>
      </w:r>
    </w:p>
    <w:p>
      <w:pPr>
        <w:spacing w:before="40" w:after="40"/>
        <w:ind w:left="283"/>
      </w:pPr>
      <w:r>
        <w:rPr>
          <w:rFonts w:ascii="Calibri" w:hAnsi="Calibri"/>
          <w:b/>
          <w:color w:val="4A6B25"/>
          <w:sz w:val="20"/>
        </w:rPr>
        <w:t xml:space="preserve">2. </w:t>
      </w:r>
      <w:r>
        <w:rPr>
          <w:rFonts w:ascii="Calibri" w:hAnsi="Calibri"/>
          <w:b w:val="0"/>
          <w:color w:val="3A4A28"/>
          <w:sz w:val="20"/>
        </w:rPr>
        <w:t>Near-zero federal cash tax liability through 2035 improves credit metrics by 60-70bps and enables $1B of incremental capital investment without dilutive equity issuance [1]</w:t>
      </w:r>
    </w:p>
    <w:p>
      <w:pPr>
        <w:spacing w:before="40" w:after="40"/>
        <w:ind w:left="283"/>
      </w:pPr>
      <w:r>
        <w:rPr>
          <w:rFonts w:ascii="Calibri" w:hAnsi="Calibri"/>
          <w:b/>
          <w:color w:val="4A6B25"/>
          <w:sz w:val="20"/>
        </w:rPr>
        <w:t xml:space="preserve">3. </w:t>
      </w:r>
      <w:r>
        <w:rPr>
          <w:rFonts w:ascii="Calibri" w:hAnsi="Calibri"/>
          <w:b w:val="0"/>
          <w:color w:val="3A4A28"/>
          <w:sz w:val="20"/>
        </w:rPr>
        <w:t>Greater Houston Resiliency Initiative — $5B investment including 26,000+ storm-resilient poles, 400+ miles undergrounded, and 5,150+ automated devices, reducing storm outage risk and supporting rate recovery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Hurricane Beryl legal and regulatory exposure — $100M+ class-action lawsuits, Texas AG criminal investigation, and PUC scrutiny for 2.6 million customer outages and 22 storm-related deaths [3]</w:t>
      </w:r>
    </w:p>
    <w:p>
      <w:pPr>
        <w:spacing w:before="40" w:after="40"/>
        <w:ind w:left="283"/>
      </w:pPr>
      <w:r>
        <w:rPr>
          <w:rFonts w:ascii="Calibri" w:hAnsi="Calibri"/>
          <w:b/>
          <w:color w:val="4A6B25"/>
          <w:sz w:val="20"/>
        </w:rPr>
        <w:t xml:space="preserve">2. </w:t>
      </w:r>
      <w:r>
        <w:rPr>
          <w:rFonts w:ascii="Calibri" w:hAnsi="Calibri"/>
          <w:b w:val="0"/>
          <w:color w:val="3A4A28"/>
          <w:sz w:val="20"/>
        </w:rPr>
        <w:t>High leverage (D/E 207%) creates interest rate sensitivity, with $6.8B annual capex requiring continued capital markets access at a time of elevated borrowing costs [4]</w:t>
      </w:r>
    </w:p>
    <w:p>
      <w:pPr>
        <w:spacing w:before="40" w:after="40"/>
        <w:ind w:left="283"/>
      </w:pPr>
      <w:r>
        <w:rPr>
          <w:rFonts w:ascii="Calibri" w:hAnsi="Calibri"/>
          <w:b/>
          <w:color w:val="4A6B25"/>
          <w:sz w:val="20"/>
        </w:rPr>
        <w:t xml:space="preserve">3. </w:t>
      </w:r>
      <w:r>
        <w:rPr>
          <w:rFonts w:ascii="Calibri" w:hAnsi="Calibri"/>
          <w:b w:val="0"/>
          <w:color w:val="3A4A28"/>
          <w:sz w:val="20"/>
        </w:rPr>
        <w:t>Regulatory risk on rate case outcomes — CenterPoint's earnings growth depends on timely approval of infrastructure investments, and the post-Beryl political environment could constrain rate increases in Texas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CenterPoint's regulated electric and natural gas utility business is structurally immune to AI disruption — AI cannot substitute physical power generation, transmission, distribution, or natural gas delivery infrastructure [1]. The business is protected by regulated monopoly status, government-granted service territories, and massive physical infrastructure (355 substations, 208 miles of intrastate pipeline). Moreover, AI is a direct demand driver: CenterPoint's peak load forecast increased 50% (10 additional GW by 2029) driven largely by data center power demand, two years ahead of prior estimates [1]. U.S. data center power demand could reach 106 GW by 2035. AI growth literally feeds CenterPoint's revenue and rate base. AI Opportunity (1/1): CenterPoint generates value from AI through the Palantir-Nvidia Chain Reaction platform, Technosylva wildfire monitoring, and Pano AI infrastructure threat detection — operational AI tools that reduce costs and improve reliability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CenterPoint Energy Q4 and FY2025 Earnings Release — $1.76 non-GAAP EPS, 2026 guidance $1.89-$1.91, 50% peak load increase, February 2026</w:t>
      </w:r>
    </w:p>
    <w:p>
      <w:pPr>
        <w:spacing w:before="20" w:after="20"/>
        <w:ind w:left="170"/>
      </w:pPr>
      <w:r>
        <w:rPr>
          <w:rFonts w:ascii="Calibri" w:hAnsi="Calibri"/>
          <w:b/>
          <w:color w:val="4A6B25"/>
          <w:sz w:val="15"/>
        </w:rPr>
        <w:t xml:space="preserve">2. </w:t>
      </w:r>
      <w:r>
        <w:rPr>
          <w:rFonts w:ascii="Calibri" w:hAnsi="Calibri"/>
          <w:b w:val="0"/>
          <w:color w:val="3A4A28"/>
          <w:sz w:val="17"/>
        </w:rPr>
        <w:t>Comparably, Glassdoor — CEO Jason Wells profile, Glassdoor 3.6/5, Palantir-Nvidia Chain Reaction platform, Technosylva AI collaboration</w:t>
      </w:r>
    </w:p>
    <w:p>
      <w:pPr>
        <w:spacing w:before="20" w:after="20"/>
        <w:ind w:left="170"/>
      </w:pPr>
      <w:r>
        <w:rPr>
          <w:rFonts w:ascii="Calibri" w:hAnsi="Calibri"/>
          <w:b/>
          <w:color w:val="4A6B25"/>
          <w:sz w:val="15"/>
        </w:rPr>
        <w:t xml:space="preserve">3. </w:t>
      </w:r>
      <w:r>
        <w:rPr>
          <w:rFonts w:ascii="Calibri" w:hAnsi="Calibri"/>
          <w:b w:val="0"/>
          <w:color w:val="3A4A28"/>
          <w:sz w:val="17"/>
        </w:rPr>
        <w:t>Texas Tribune, Houston Public Media — Hurricane Beryl $100M+ lawsuits, 2.6M outages, 22 deaths, $5B GHRI investment, CenterPoint rate case settlement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CNP,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