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CNQ</w:t>
      </w:r>
      <w:r>
        <w:rPr>
          <w:rFonts w:ascii="Calibri" w:hAnsi="Calibri"/>
          <w:b/>
          <w:color w:val="1A2010"/>
          <w:sz w:val="40"/>
        </w:rPr>
        <w:t xml:space="preserve">  Canadian Natural Resources Limited</w:t>
      </w:r>
    </w:p>
    <w:p>
      <w:pPr>
        <w:spacing w:after="120"/>
      </w:pPr>
      <w:r>
        <w:rPr>
          <w:rFonts w:ascii="Calibri" w:hAnsi="Calibri"/>
          <w:b/>
          <w:color w:val="6E8450"/>
          <w:sz w:val="18"/>
        </w:rPr>
        <w:t>DIVIDEND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Canada</w:t>
      </w:r>
    </w:p>
    <w:p>
      <w:pPr>
        <w:spacing w:after="80"/>
      </w:pPr>
      <w:r>
        <w:rPr>
          <w:rFonts w:ascii="Calibri" w:hAnsi="Calibri"/>
          <w:b w:val="0"/>
          <w:color w:val="3A4A28"/>
          <w:sz w:val="20"/>
        </w:rPr>
        <w:t>Canadian Natural Resources Limited is one of the largest independent crude oil and natural gas producers globally, with operations in Western Canada, the North Sea, and Offshore Africa. The company holds the second-largest proved reserve base among global peers at 5+ billion BOE with a 32-year reserve life index, and achieved record total production of 1.66 million BOE/d in 2025.</w:t>
      </w:r>
    </w:p>
    <w:p>
      <w:r>
        <w:rPr>
          <w:rFonts w:ascii="Calibri" w:hAnsi="Calibri"/>
          <w:b/>
          <w:color w:val="6E8450"/>
          <w:sz w:val="18"/>
        </w:rPr>
        <w:t>https://www.cnrl.com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CNQ's operational excellence is its primary innovation — achieving record production of 1.66 million BOE/d with oil sands mining at 104% utilization and C$21.29/bbl operating costs demonstrates industry-leading efficiency [1]. The 2026 budget includes C$125M for carbon capture projects, signaling early-stage energy transition investment. However, CNQ is primarily an operational optimizer rather than a technology innovator, and the business model relies on conventional extraction rather than breakthrough technology. The Jackfish Brownfield, Pike 2, and Jackpine mine expansion projects represent brownfield optimization rather than step-change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CNQ is a reliable and disciplined operator that returned C$6.2B to shareholders in the first three quarters of 2025, including C$1.2B in quarterly dividends [1]. The company's commitment to long-life, low-decline assets provides energy security, and the 6.4% dividend increase signals confidence in sustainable cash returns. However, the company's mission and cultural messaging are primarily financial and operational rather than purpose-driven, and employee count data is not publicly disclosed through standard channels.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CNQ demonstrates exceptional financial strength: C$38.76B in 2025 revenue (+8.7% YoY), 27.9% profit margin, 25.8% ROE, and D/E of only 37.5% [4]. Forward P/E of 18.5 is reasonable for an energy major with this production scale. The dividend yield of 3.74% with a 45.5% payout ratio is well-covered and growing (6.4% increase announced). Proved reserves of 5B+ BOE with a 32-year reserve life index provide unmatched asset durability [1]. Record production and declining operating costs demonstrate operational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CNQ demonstrates some infinite game characteristics through its 32-year reserve life focus, consistent dividend growth over 25 consecutive years, and long-term capital allocation discipline. However, the oil and gas business inherently creates finite pressures around commodity cycles, and the company's energy transition positioning is early-stage relative to European majors.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CNQ's purpose centers on reliable energy production and shareholder returns, connecting to energy security needs. The 25 consecutive years of dividend growth demonstrate long-term commitment beyond quarterly optimization [1]. However, the company's environmental cause is limited to C$125M in carbon capture — modest relative to its scale — and messaging focuses on operational excellence rather than transformative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CNQ's management achieved record production of 1.66M BOE/d while maintaining C$21.29/bbl operating costs, demonstrating exceptional operational execution that requires deep organizational trust [1]. The company's long-life asset strategy creates workforce stability compared to exploration-focused peers. However, specific employee satisfaction or retention data is limited.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CNQ competes against Suncor, Imperial Oil, and global majors. The company's focus on low-decline, long-life assets explicitly differentiates from exploration-focused rivals, showing strategic self-awareness. The 32-year reserve life and consistently declining operating costs suggest learning from industry best practices. The C$125M carbon capture investment shows awareness of energy transition dynamics competitors face.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CNQ has expanded from conventional oil to oil sands, thermal, and mining operations over its 30+ year history, showing asset-type flexibility [1]. The Jackfish Brownfield and Pike 2 expansions demonstrate growth beyond existing operations. However, the company remains purely an oil and gas producer with no meaningful diversification into renewables or alternative energy, and its enormous reserve base arguably reduces the urgency for strategic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CNQ's decision to increase production guidance by 20 MBOE/d while raising the dividend 6.4% and allocating C$6.88B in 2026 capex demonstrates confident capital allocation [1]. The C$125M carbon capture budget, while modest, shows willingness to invest in an area with uncertain near-term returns. Returning C$6.2B to shareholders while maintaining growth spending requires disciplined resource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Canadian Natural Resources is a world-class energy producer trading at 13.0x trailing P/E with a 3.74% dividend yield backed by 25 consecutive years of growth (including a 6.4% increase) and record 2025 production of 1.66M BOE/d [1]. The company holds the second-largest proved reserve base globally at 5B+ BOE with a 32-year reserve life, providing unmatched production visibility. ROE of 25.8%, profit margins of 27.9%, and D/E of only 37.5% demonstrate financial excellence. CNQ returned C$6.2B to shareholders in the first three quarters of 2025 while maintaining C$21.29/bbl oil sands operating costs — among the lowest in the Canadian oil sands.</w:t>
      </w:r>
    </w:p>
    <w:p>
      <w:pPr>
        <w:spacing w:after="120"/>
      </w:pPr>
      <w:r>
        <w:rPr>
          <w:rFonts w:ascii="Calibri" w:hAnsi="Calibri"/>
          <w:b w:val="0"/>
          <w:color w:val="3A4A28"/>
          <w:sz w:val="20"/>
        </w:rPr>
        <w:t>The bear case centers on commodity price risk: CNQ's revenue grew only 1.5% YoY in the latest quarter despite record production volumes, reflecting soft oil prices [4]. The forward P/E of 18.5 (above trailing 13.0) suggests the market expects declining earnings from lower commodity realizations. No meaningful energy transition strategy beyond C$125M in carbon capture leaves CNQ exposed to long-term hydrocarbon demand decline. OPEC+ production decisions, global recession risk, and potential carbon border taxes could compress margins. The Canadian oil sands face ongoing environmental and pipeline capacity scrutiny that could limit growth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production guidance of 1,590-1,650 MBOE/d with midpoint 3.2% above 2025, driven by Jackfish Brownfield, Pike 2, and Jackpine mine expansion projects [1]</w:t>
      </w:r>
    </w:p>
    <w:p>
      <w:pPr>
        <w:spacing w:before="40" w:after="40"/>
        <w:ind w:left="283"/>
      </w:pPr>
      <w:r>
        <w:rPr>
          <w:rFonts w:ascii="Calibri" w:hAnsi="Calibri"/>
          <w:b/>
          <w:color w:val="4A6B25"/>
          <w:sz w:val="20"/>
        </w:rPr>
        <w:t xml:space="preserve">2. </w:t>
      </w:r>
      <w:r>
        <w:rPr>
          <w:rFonts w:ascii="Calibri" w:hAnsi="Calibri"/>
          <w:b w:val="0"/>
          <w:color w:val="3A4A28"/>
          <w:sz w:val="20"/>
        </w:rPr>
        <w:t>25 consecutive years of dividend growth with 6.4% latest increase and C$6.2B annual shareholder returns demonstrating sustainable capital allocation [1]</w:t>
      </w:r>
    </w:p>
    <w:p>
      <w:pPr>
        <w:spacing w:before="40" w:after="40"/>
        <w:ind w:left="283"/>
      </w:pPr>
      <w:r>
        <w:rPr>
          <w:rFonts w:ascii="Calibri" w:hAnsi="Calibri"/>
          <w:b/>
          <w:color w:val="4A6B25"/>
          <w:sz w:val="20"/>
        </w:rPr>
        <w:t xml:space="preserve">3. </w:t>
      </w:r>
      <w:r>
        <w:rPr>
          <w:rFonts w:ascii="Calibri" w:hAnsi="Calibri"/>
          <w:b w:val="0"/>
          <w:color w:val="3A4A28"/>
          <w:sz w:val="20"/>
        </w:rPr>
        <w:t>C$125M carbon capture investment in 2026 positioning CNQ for potential carbon credit revenue and ESG re-rating as policies tighten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$60/bbl WTI would compress margins and potentially require dividend or buyback reductions despite the low-cost operating structure [1]</w:t>
      </w:r>
    </w:p>
    <w:p>
      <w:pPr>
        <w:spacing w:before="40" w:after="40"/>
        <w:ind w:left="283"/>
      </w:pPr>
      <w:r>
        <w:rPr>
          <w:rFonts w:ascii="Calibri" w:hAnsi="Calibri"/>
          <w:b/>
          <w:color w:val="4A6B25"/>
          <w:sz w:val="20"/>
        </w:rPr>
        <w:t xml:space="preserve">2. </w:t>
      </w:r>
      <w:r>
        <w:rPr>
          <w:rFonts w:ascii="Calibri" w:hAnsi="Calibri"/>
          <w:b w:val="0"/>
          <w:color w:val="3A4A28"/>
          <w:sz w:val="20"/>
        </w:rPr>
        <w:t>OPEC+ production decisions and global recession risk could create oversupply conditions that disproportionately impact Canadian heavy crude pricing (WCS discount)</w:t>
      </w:r>
    </w:p>
    <w:p>
      <w:pPr>
        <w:spacing w:before="40" w:after="40"/>
        <w:ind w:left="283"/>
      </w:pPr>
      <w:r>
        <w:rPr>
          <w:rFonts w:ascii="Calibri" w:hAnsi="Calibri"/>
          <w:b/>
          <w:color w:val="4A6B25"/>
          <w:sz w:val="20"/>
        </w:rPr>
        <w:t xml:space="preserve">3. </w:t>
      </w:r>
      <w:r>
        <w:rPr>
          <w:rFonts w:ascii="Calibri" w:hAnsi="Calibri"/>
          <w:b w:val="0"/>
          <w:color w:val="3A4A28"/>
          <w:sz w:val="20"/>
        </w:rPr>
        <w:t>Limited energy transition strategy relative to European majors leaves CNQ exposed to potential long-term hydrocarbon demand decline and increasing carbon regulation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Oil and gas extraction requires physical drilling, mining, and processing infrastructure that AI cannot displace [1]. AI-driven optimization of drilling, production monitoring, and predictive maintenance represent enhancement opportunities for CNQ's massive 1.66M BOE/d operation. The company's asset-heavy model with 5B+ BOE reserves creates a physical moat. However, AI's role in accelerating the energy transition (improving renewable energy efficiency) could gradually reduce long-term oil demand, though this is a multi-decade risk rather than near-term threat.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Canadian Natural Resources Q4 2025 Earnings and 2026 Production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Canadian Natural Resources corporate profile and reserve data,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Canadian Natural Resources ESG and sustainability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CNQ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