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CNTX</w:t>
      </w:r>
      <w:r>
        <w:rPr>
          <w:rFonts w:ascii="Calibri" w:hAnsi="Calibri"/>
          <w:b/>
          <w:color w:val="1A2010"/>
          <w:sz w:val="40"/>
        </w:rPr>
        <w:t xml:space="preserve">  Context Therapeutics Inc.</w:t>
      </w:r>
    </w:p>
    <w:p>
      <w:pPr>
        <w:spacing w:after="120"/>
      </w:pPr>
      <w:r>
        <w:rPr>
          <w:rFonts w:ascii="Calibri" w:hAnsi="Calibri"/>
          <w:b/>
          <w:color w:val="6E8450"/>
          <w:sz w:val="18"/>
        </w:rPr>
        <w:t>GROWTH SLEEVE · 2026-04-25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Context Therapeutics is a clinical-stage biopharmaceutical company focused on developing next-generation T-cell engaging (TCE) bispecific antibody therapies for solid tumors. The pipeline includes CTIM-76 (Claudin-6 x CD3) for ovarian, endometrial, and testicular cancers, CT-95 (Mesothelin x CD3) for multiple solid tumors, and CT-202 (Nectin-4 x CD3) in preclinical development. Founded in 2015 and headquartered in Philadelphia, PA.</w:t>
      </w:r>
    </w:p>
    <w:p>
      <w:r>
        <w:rPr>
          <w:rFonts w:ascii="Calibri" w:hAnsi="Calibri"/>
          <w:b/>
          <w:color w:val="6E8450"/>
          <w:sz w:val="18"/>
        </w:rPr>
        <w:t>50 Employees · https://www.contexttherapeutics.com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Context Therapeutics has advanced from a single-asset company focused on hormone-dependent cancers to a three-program clinical-stage TCE bispecific antibody platform since its founding in 2015 [2]. The company achieved its first clinical milestone with 12 patients treated in the CTIM-76 Phase 1a study showing preliminary anti-tumor activity with no dose-limiting toxicities as of October 2025 [1]. Progress is meaningful for a small biotech but the company has not yet produced a marketed product or generated revenue. AI Deployment (0/2): No AI deployment or AI strategy was identified in any public materials. Drug discovery and clinical development at Context Therapeutics follow traditional biopharmaceutical approaches without AI integration [2]. Market Share (0/2): Pre-revenue clinical-stage company with no market share in any therapeutic category. The TCE bispecific antibody space is competitive with multiple larger players (Amgen, Roche) pursuing similar approaches [2]. Pipeline (2/2): Three clinical candidates with specific timelines: CTIM-76 Phase 1a interim data expected June 2026, CT-95 Phase 1a interim data expected September 2026, and CT-202 first patient dosing expected Q3 2026 [1]. Clear pipeline visibility with defined milestones throughout 2026. R&amp;D Intensity (1/1): R&amp;D spending of $31.9M represents essentially 100% of meaningful expenditure for this pre-revenue company, a 40.5% YoY increase driven by advancing all three clinical programs simultaneously [1]. Top-quartile R&amp;D intensity for the biotech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Context Therapeutics' mission to advance treatment of solid tumors through next-generation TCE bispecific antibodies is clear and specific — it identifies the approach (TCE bispecifics), the target (solid tumors), and differentiates from the broader oncology space [2]. However, it reads as a scientific objective rather than an inspiring vision of a better future. CEO Martin Lehr is described as understated, preferring to let actions speak — admirable but not the articulation of a transformative Just Cause [2]. Community Impact (0/2): No evidence of charitable programs, foundation, or community investment was identified. As a small pre-revenue biotech, the company's resources are focused entirely on clinical development [1]. Employee Retention (0/2): With approximately 50 employees, no retention data, turnover rates, or cultural practices were publicly disclosed [2]. Insider Buying (0/2): No evidence of meaningful net insider buying by CEO Martin Lehr or other executives in the past 12 months. The company raised capital through equity offerings to fund operations, which typically involves dilution rather than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Context Therapeutics is a pre-revenue clinical-stage biotech burning $36.1M annually with $66.0M cash providing runway into mid-2027 [1]. Debt-to-equity of just 0.19% reflects a clean balance sheet typical of venture-backed biotech — scoring 1.0 on this metric [4]. However, ROE of -46.4% and profit margin of 0% both score 0.0, reflecting the fundamental reality that this company generates no revenue and exists on investor capital [4]. Forward P/E is negative (-4.9x) and excluded from calculation as meaningless for an unprofitable company. No PEG ratio or revenue growth metrics exist. Mechanical calculation on available metrics: D/E 1.0(1x) + ROE 0.0(2x) + Margin 0.0(1x) = 1.0/4 × 10 = 3. Liquidity floor cleared: 1.25M avg volume × $2.26 = $2.8M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Context Therapeutics is a young, pre-revenue clinical-stage company that has not had the opportunity to demonstrate infinite game characteristics. The company's existence is fundamentally tied to binary clinical trial outcomes — if the data reads out positively, the company succeeds; if not, it faces existential questions. This is the nature of clinical-stage biotech, which is structurally a finite game of drug development milestones rather than an enduring organizational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through novel immunotherapy approaches is a genuine and important cause, but Context Therapeutics has not yet validated this purpose through execution [2]. The company's articulation focuses on the science (TCE bispecific antibodies) rather than a vision of a transformed future for cancer patients. CEO Martin Lehr's understated leadership style suggests authenticity but the company is too young and too small to have proven that its purpose shapes strategic decisions through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50 employees, no public data on employee satisfaction, turnover, or organizational culture was found [2]. The 40.5% increase in R&amp;D personnel costs suggests the team is growing rapidly, which typically creates cultural challenges rather than deepening trust [1]. No evidence of exceptional cultural practices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improvement. The TCE bispecific space includes formidable rivals (Amgen's BiTE platform, Roche's bispecifics) but Context's competitive positioning focuses on its own differentiated molecules rather than learning from these worthy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Context Therapeutics pivoted from its original focus on hormone-dependent cancers (including the onapristone program) to a next-generation TCE bispecific antibody platform, fundamentally redefining the company's scientific approach and pipeline [2]. This was a meaningful strategic shift that required abandoning earlier programs to pursue a more promising modality. However, the pivot was driven by scientific opportunity and survival necessity rather than an overarching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increased R&amp;D spending 40.5% YoY to $31.9M while pre-revenue, simultaneously advancing three clinical programs and expanding the team — a bold resource allocation for a company with finite cash runway to mid-2027 [1]. The decision to pursue three TCE targets simultaneously rather than concentrating on a single program shows confidence but also accepts the risk of spreading limited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Context Therapeutics offers high-risk, high-reward exposure to the rapidly expanding TCE bispecific antibody space for solid tumors. The company has three clinical programs with defined catalysts in 2026: CTIM-76 Phase 1a interim data in June, CT-95 interim data in September, and CT-202 first patient in Q3 [1]. Early CTIM-76 data is encouraging — 12 patients treated with preliminary anti-tumor activity and no dose-limiting toxicities or Grade 2+ CRS [1]. With $66M cash runway into mid-2027, the company is funded through all three catalysts. At $208M market cap, positive clinical readouts could drive significant upside if any program demonstrates meaningful efficacy in hard-to-treat solid tumors.</w:t>
      </w:r>
    </w:p>
    <w:p>
      <w:pPr>
        <w:spacing w:after="120"/>
      </w:pPr>
      <w:r>
        <w:rPr>
          <w:rFonts w:ascii="Calibri" w:hAnsi="Calibri"/>
          <w:b w:val="0"/>
          <w:color w:val="3A4A28"/>
          <w:sz w:val="20"/>
        </w:rPr>
        <w:t>The bear case is the fundamental reality of pre-revenue clinical-stage biotech: binary risk with asymmetric downside. Context burned $36.1M in 2025 (up 35% from 2024) with zero revenue and no path to profitability until at least 2029-2030 at the earliest [1]. The $66M cash position requires successful data readouts to raise additional capital — a negative trial result would likely require severe dilution or could threaten the company's viability. The TCE bispecific space is fiercely competitive, with Amgen, Roche, and other well-capitalized players pursuing similar Claudin-6, Mesothelin, and Nectin-4 targets with greater resources and manufacturing scale [2]. ROE of -46.4% and $0.38 loss per share reflect the capital-consumptive reality of clinical-stage drug development. At $2.26 per share with negative forward P/E, the stock is a speculative option on clinical data, not an investment in a functioning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CTIM-76 Phase 1a interim data expected June 2026 — positive Claudin-6 x CD3 efficacy and safety data in ovarian/endometrial cancers could validate the platform and drive significant revaluation [1]</w:t>
      </w:r>
    </w:p>
    <w:p>
      <w:pPr>
        <w:spacing w:before="40" w:after="40"/>
        <w:ind w:left="283"/>
      </w:pPr>
      <w:r>
        <w:rPr>
          <w:rFonts w:ascii="Calibri" w:hAnsi="Calibri"/>
          <w:b/>
          <w:color w:val="4A6B25"/>
          <w:sz w:val="20"/>
        </w:rPr>
        <w:t xml:space="preserve">2. </w:t>
      </w:r>
      <w:r>
        <w:rPr>
          <w:rFonts w:ascii="Calibri" w:hAnsi="Calibri"/>
          <w:b w:val="0"/>
          <w:color w:val="3A4A28"/>
          <w:sz w:val="20"/>
        </w:rPr>
        <w:t>CT-95 Phase 1a interim data expected September 2026 — Mesothelin x CD3 data across multiple solid tumors provides a second shot on goal within the same year [1]</w:t>
      </w:r>
    </w:p>
    <w:p>
      <w:pPr>
        <w:spacing w:before="40" w:after="40"/>
        <w:ind w:left="283"/>
      </w:pPr>
      <w:r>
        <w:rPr>
          <w:rFonts w:ascii="Calibri" w:hAnsi="Calibri"/>
          <w:b/>
          <w:color w:val="4A6B25"/>
          <w:sz w:val="20"/>
        </w:rPr>
        <w:t xml:space="preserve">3. </w:t>
      </w:r>
      <w:r>
        <w:rPr>
          <w:rFonts w:ascii="Calibri" w:hAnsi="Calibri"/>
          <w:b w:val="0"/>
          <w:color w:val="3A4A28"/>
          <w:sz w:val="20"/>
        </w:rPr>
        <w:t>CT-202 first patient dosing expected Q3 2026 — advancing the third pipeline program into clinic demonstrates execution capability and platform breadth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negative Phase 1a data for CTIM-76 or CT-95 would likely collapse the stock price given the company has no revenue, no approved products, and the entire valuation rests on pipeline potential [1]</w:t>
      </w:r>
    </w:p>
    <w:p>
      <w:pPr>
        <w:spacing w:before="40" w:after="40"/>
        <w:ind w:left="283"/>
      </w:pPr>
      <w:r>
        <w:rPr>
          <w:rFonts w:ascii="Calibri" w:hAnsi="Calibri"/>
          <w:b/>
          <w:color w:val="4A6B25"/>
          <w:sz w:val="20"/>
        </w:rPr>
        <w:t xml:space="preserve">2. </w:t>
      </w:r>
      <w:r>
        <w:rPr>
          <w:rFonts w:ascii="Calibri" w:hAnsi="Calibri"/>
          <w:b w:val="0"/>
          <w:color w:val="3A4A28"/>
          <w:sz w:val="20"/>
        </w:rPr>
        <w:t>Cash runway to mid-2027 creates dilution risk — the company will need to raise additional capital through equity offerings before any program can reach a registrational trial, potentially at depressed share prices if data is mixed [1]</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in TCE bispecific antibody space — Amgen, Roche, and multiple well-funded biotechs are pursuing similar Claudin-6, Mesothelin, and Nectin-4 targets with greater resources, manufacturing capability, and clinical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for solid tumors involves complex biological processes — protein engineering, clinical trial design, FDA regulatory pathways, and patient-specific immune responses — that AI cannot replace [2]. The physical reality of treating cancer patients through bispecific antibody infusions requires clinical infrastructure, manufacturing, and regulatory expertise that is immune to AI substitution. However, AI-driven drug discovery platforms (Recursion, Insilico Medicine) are accelerating competitor pipelines, and larger pharma companies are using AI to identify novel targets and optimize clinical trial design faster. Context's competitive position could be eroded if AI-enabled competitors reach similar targets more efficiently. The TCE bispecific space is highly competitive with well-resourced players. AI Opportunity (0/1): No AI revenue or AI-powered drug discovery tools. The company uses traditional biopharmaceutical development approaches without reported AI integration in target identification, molecule optimization, or clinical trial design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Context Therapeutics Full Year 2025 Operating and Financial Results — $36.1M net loss, $66M cash, pipeline updates, March 2026</w:t>
      </w:r>
    </w:p>
    <w:p>
      <w:pPr>
        <w:spacing w:before="20" w:after="20"/>
        <w:ind w:left="170"/>
      </w:pPr>
      <w:r>
        <w:rPr>
          <w:rFonts w:ascii="Calibri" w:hAnsi="Calibri"/>
          <w:b/>
          <w:color w:val="4A6B25"/>
          <w:sz w:val="15"/>
        </w:rPr>
        <w:t xml:space="preserve">2. </w:t>
      </w:r>
      <w:r>
        <w:rPr>
          <w:rFonts w:ascii="Calibri" w:hAnsi="Calibri"/>
          <w:b w:val="0"/>
          <w:color w:val="3A4A28"/>
          <w:sz w:val="17"/>
        </w:rPr>
        <w:t>Context Therapeutics corporate website — management team, pipeline, mission, clinical program descriptions, 2025-2026</w:t>
      </w:r>
    </w:p>
    <w:p>
      <w:pPr>
        <w:spacing w:before="20" w:after="20"/>
        <w:ind w:left="170"/>
      </w:pPr>
      <w:r>
        <w:rPr>
          <w:rFonts w:ascii="Calibri" w:hAnsi="Calibri"/>
          <w:b/>
          <w:color w:val="4A6B25"/>
          <w:sz w:val="15"/>
        </w:rPr>
        <w:t xml:space="preserve">3. </w:t>
      </w:r>
      <w:r>
        <w:rPr>
          <w:rFonts w:ascii="Calibri" w:hAnsi="Calibri"/>
          <w:b w:val="0"/>
          <w:color w:val="3A4A28"/>
          <w:sz w:val="17"/>
        </w:rPr>
        <w:t>Benzinga / WallStreetZen — CNTX earnings estimates and analyst forecasts,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CNTX (Context Therapeutics),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