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CODI</w:t>
      </w:r>
      <w:r>
        <w:rPr>
          <w:rFonts w:ascii="Calibri" w:hAnsi="Calibri"/>
          <w:b/>
          <w:color w:val="1A2010"/>
          <w:sz w:val="40"/>
        </w:rPr>
        <w:t xml:space="preserve">  Compass Diversified</w:t>
      </w:r>
    </w:p>
    <w:p>
      <w:pPr>
        <w:spacing w:after="120"/>
      </w:pPr>
      <w:r>
        <w:rPr>
          <w:rFonts w:ascii="Calibri" w:hAnsi="Calibri"/>
          <w:b/>
          <w:color w:val="6E8450"/>
          <w:sz w:val="18"/>
        </w:rPr>
        <w:t>DIVIDEND SLEEVE · 2026-04-28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NYSE · United States</w:t>
      </w:r>
    </w:p>
    <w:p>
      <w:pPr>
        <w:spacing w:after="80"/>
      </w:pPr>
      <w:r>
        <w:rPr>
          <w:rFonts w:ascii="Calibri" w:hAnsi="Calibri"/>
          <w:b w:val="0"/>
          <w:color w:val="3A4A28"/>
          <w:sz w:val="20"/>
        </w:rPr>
        <w:t>Compass Diversified is a diversified holding company that acquires and manages a portfolio of middle-market businesses across consumer and industrial segments. Subsidiaries include brands in outdoor recreation, safety, specialty food, and industrial packaging. The company was founded in 1998 by CEO Elias Sabo and operates as a permanent capital vehicle for niche market leaders.</w:t>
      </w:r>
    </w:p>
    <w:p>
      <w:r>
        <w:rPr>
          <w:rFonts w:ascii="Calibri" w:hAnsi="Calibri"/>
          <w:b/>
          <w:color w:val="6E8450"/>
          <w:sz w:val="18"/>
        </w:rPr>
        <w:t>4,069 Employees · https://www.compassdiversified.com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Compass Diversified operates as a holding company that acquires and manages middle-market businesses rather than innovating within them. The most notable recent development was the Lugano luxury jewelry acquisition, which ended in a catastrophic $375M+ inventory fraud and subsequent deconsolidation in 2025, representing a failed capital allocation decision rather than a successful innovation [1]. AI Deployment (0/2): There is no evidence of AI deployment across CODI's subsidiary portfolio or at the holding company level. The company's middle-market industrial and consumer subsidiaries have not publicly discussed AI-powered products or meaningful AI-driven cost savings [2]. Market Share (1/2): Several CODI subsidiaries hold meaningful positions in niche markets — BOA Technology in closure systems, Velocity Outdoor in archery — but none are category-defining leaders, and the Lugano deconsolidation removed the highest-profile brand from the portfolio [1]. Product Pipeline (1/2): Individual subsidiaries have modest product development programs, but no specific next-generation products with revenue visibility have been disclosed at the holding company level. R&amp;D Intensity (0/1): As a holding company, CODI does not report consolidated R&amp;D spending, and its subsidiaries are not R&amp;D-intensive businesses.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Compass Diversified's stated purpose centers on being 'a partner to middle-market businesses' with values of passion, integrity, collaboration, accountability, and humility. This is a generic holding company mission interchangeable with any private equity firm — it does not articulate a distinctive purpose beyond acquiring and managing businesses [2]. Community Impact (0/2): No evidence of significant charitable programs or community investment beyond standard corporate responsibility. Employee Retention (1/2): CEO Elias Sabo has led the company since its founding in 1998, providing nearly three decades of leadership continuity. However, the Lugano fraud scandal — described as 'deliberate and systemic' — raises serious questions about the company's oversight culture and due diligence processes across its subsidiary portfolio [2]. Insider Buying (1/2): Insider transactions are roughly balanced with no notable net buying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CODI's financial profile is severely impaired following the Lugano fraud scandal. D/E of 357% far exceeds the 300% floor, scoring zero on leverage [4]. ROE of -53.7% reflects consecutive years of net losses — the company lost $226M in FY2025 and $209M in FY2024, driven by the Lugano deconsolidation and $375M+ inventory write-down [1]. Profit margin of -12.1% is deeply negative. Revenue declined 5.1% YoY with a tepid 3-year CAGR of ~2.2%. The payout ratio of 404% is unsustainable relative to negative earnings, though the $1.00/share annual dividend has been maintained at a flat level since 2022. Consecutive years paid of ~15 is the only bright spot. Forward P/E is negative (expected losses). Liquidity clears the floor at ~$15M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Compass Diversified exhibits largely finite game characteristics despite CEO Sabo's 28-year tenure. The Lugano fraud scandal — involving deliberate and systemic fraud at a subsidiary with $375M+ in inventory manipulation — reveals fundamental failures in organizational trust and oversight that undermine the company's infinite game credentials. The holding company model inherently prioritizes acquisition-driven financial engineering over building a single enduring enterprise with a clear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CODI's purpose — being a permanent capital partner to middle-market businesses — is a financial structure, not a Just Cause. It does not articulate a vision of a better future that inspires sacrifice or endures beyond profit. The company exists to acquire businesses, optimize them, and generate returns for shareholders, which is a finite game by definition. The Lugano fraud scandal further undermines any claim to a purpose beyond financial returns [2].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Lugano fraud scandal is the defining data point for organizational trust at CODI. Deliberate and systemic fraud at a major subsidiary — undetected until it reached $375M+ in inventory manipulation — reveals fundamental failures in the Circle of Safety. Subsidiary management committed fraud while holding company oversight failed to detect it, indicating a culture where deception was possible at scale [1]. The NYSE non-compliance letter and required financial restatements for FY2022-2024 compound the trust deficit.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 operates in a competitive landscape with other permanent capital vehicles (Roper Technologies, Danaher, TransDigm) and private equity firms. The company's positioning focuses on its own strengths as a partner to middle-market businesses rather than attacking specific competitors, and management acknowledges the competitive acquisition environment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 has demonstrated some flexibility through its holding company model — acquiring, developing, and divesting businesses across different industries over 28 years. The recent sale of Sterno's Food Service business for $292.5M and the planned deleveraging represent strategic adaptation to changed circumstances [1]. However, these are reactive portfolio adjustments driven by financial necessity (post-Lugano deleveraging) rather than proactive existential pivots in service of a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Lugano fraud scandal — involving $375M+ in inventory manipulation described as 'deliberate and systemic' — represents a catastrophic failure of leadership oversight rather than courageous decision-making [1]. Management's response has focused on damage control (financial restatements, Sterno divestiture for deleveraging) rather than courageous long-term investment. The company received an NYSE non-compliance letter for failing to hold an annual shareholder meeting while completing restatements, signaling governance dysfunction. No evidence of courageous strategic decisions that sacrificed near-term results for long-term capability.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Diversified offers a 9.5% dividend yield and a portfolio of niche middle-market businesses with projected FY2026 subsidiary adjusted EBITDA of $345-395M, with management targeting mid-single-digit revenue growth and high single-digit EBITDA growth [1]. The Sterno Food Service divestiture for $292.5M accelerates deleveraging from the 357% D/E ratio, and remaining subsidiaries like BOA Technology and Velocity Outdoor hold solid positions in defensible niche markets. CEO Elias Sabo's 28-year tenure provides strategic continuity, and the permanent capital vehicle structure allows longer holding periods than traditional private equity, potentially creating value through operational improvements rather than financial engineering [2].</w:t>
      </w:r>
    </w:p>
    <w:p>
      <w:pPr>
        <w:spacing w:after="120"/>
      </w:pPr>
      <w:r>
        <w:rPr>
          <w:rFonts w:ascii="Calibri" w:hAnsi="Calibri"/>
          <w:b w:val="0"/>
          <w:color w:val="3A4A28"/>
          <w:sz w:val="20"/>
        </w:rPr>
        <w:t>The bear case is severe. The Lugano fraud scandal — involving $375M+ in deliberate and systemic inventory manipulation at CODI's highest-profile subsidiary — resulted in financial restatements for FY2022-2024, NYSE non-compliance, and a $296.6M net loss from continuing operations in FY2025 [1]. D/E of 357% exceeds the 300% floor, ROE is -53.7%, profit margin is -12.1%, and the 9.5% dividend yield may be unsustainable with a 404% payout ratio on negative earnings [4]. The company's ability to acquire new businesses is constrained by its impaired balance sheet and tarnished reputation. Revenue declined 5.1% YoY, and the forward PE is negative (expected continued losses). The governance failure that allowed the Lugano fraud to go undetected raises fundamental questions about management's ability to oversee a diversified portfolio of subsidiaries — the core competency the company claims to offer [2]. Analyst views are increasingly divided on whether CODI can recover credibility and financial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Sterno Food Service divestiture for $292.5M accelerating deleveraging from 357% D/E ratio, with potential for additional asset sales to right-size the balance sheet [1]</w:t>
      </w:r>
    </w:p>
    <w:p>
      <w:pPr>
        <w:spacing w:before="40" w:after="40"/>
        <w:ind w:left="283"/>
      </w:pPr>
      <w:r>
        <w:rPr>
          <w:rFonts w:ascii="Calibri" w:hAnsi="Calibri"/>
          <w:b/>
          <w:color w:val="4A6B25"/>
          <w:sz w:val="20"/>
        </w:rPr>
        <w:t xml:space="preserve">2. </w:t>
      </w:r>
      <w:r>
        <w:rPr>
          <w:rFonts w:ascii="Calibri" w:hAnsi="Calibri"/>
          <w:b w:val="0"/>
          <w:color w:val="3A4A28"/>
          <w:sz w:val="20"/>
        </w:rPr>
        <w:t>FY2026 subsidiary adjusted EBITDA guidance of $345-395M with mid-single-digit revenue growth, indicating underlying portfolio businesses remain operationally healthy despite holding company losses [1]</w:t>
      </w:r>
    </w:p>
    <w:p>
      <w:pPr>
        <w:spacing w:before="40" w:after="40"/>
        <w:ind w:left="283"/>
      </w:pPr>
      <w:r>
        <w:rPr>
          <w:rFonts w:ascii="Calibri" w:hAnsi="Calibri"/>
          <w:b/>
          <w:color w:val="4A6B25"/>
          <w:sz w:val="20"/>
        </w:rPr>
        <w:t xml:space="preserve">3. </w:t>
      </w:r>
      <w:r>
        <w:rPr>
          <w:rFonts w:ascii="Calibri" w:hAnsi="Calibri"/>
          <w:b w:val="0"/>
          <w:color w:val="3A4A28"/>
          <w:sz w:val="20"/>
        </w:rPr>
        <w:t>Post-Lugano portfolio restructuring creating a cleaner, simpler portfolio focused on consumer and industrial businesses with less acquisition-driven complexity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Lugano fraud aftermath — financial restatements for FY2022-2024, NYSE non-compliance, and reputational damage that may impair the company's ability to source attractive acquisitions [1]</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at 9.5% yield with 404% payout ratio on negative earnings — any dividend cut would trigger significant selling pressure given the income-investor shareholder base [4]</w:t>
      </w:r>
    </w:p>
    <w:p>
      <w:pPr>
        <w:spacing w:before="40" w:after="40"/>
        <w:ind w:left="283"/>
      </w:pPr>
      <w:r>
        <w:rPr>
          <w:rFonts w:ascii="Calibri" w:hAnsi="Calibri"/>
          <w:b/>
          <w:color w:val="4A6B25"/>
          <w:sz w:val="20"/>
        </w:rPr>
        <w:t xml:space="preserve">3. </w:t>
      </w:r>
      <w:r>
        <w:rPr>
          <w:rFonts w:ascii="Calibri" w:hAnsi="Calibri"/>
          <w:b w:val="0"/>
          <w:color w:val="3A4A28"/>
          <w:sz w:val="20"/>
        </w:rPr>
        <w:t>Balance sheet distress with 357% D/E ratio, -53.7% ROE, and negative operating cash flow constraining strategic flexibility and increasing refinancing risk on $2.0B in total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CODI's subsidiary portfolio consists primarily of physical-product businesses — outdoor recreation equipment (Velocity Outdoor), industrial packaging (Sterno), safety products, and specialty consumer goods — that are largely protected from AI disruption. These businesses involve physical manufacturing, distribution, and brand-driven consumer purchasing decisions that AI cannot easily replicate or substitute [2]. The holding company model adds an additional layer of protection since portfolio management and M&amp;A decisions are human-judgment-intensive activities. However, some administrative and back-office functions across subsidiaries could face AI-driven automation pressure, and the company's lack of any AI strategy leaves it unable to capture AI-driven efficiency gains that competitors may achieve. AI Opportunity (0/1): CODI does not generate any quantifiable AI-related revenue across its subsidiary portfolio, and no AI products or services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Diversified FY2025 Results and FY2026 Guidance — $1.87B revenue, $296.6M net loss, Lugano deconsolidation, Sterno sale for $292.5M, subsidiary EBITDA guidance $345-395M; Investing.com, TickerReport, March 2026</w:t>
      </w:r>
    </w:p>
    <w:p>
      <w:pPr>
        <w:spacing w:before="20" w:after="20"/>
        <w:ind w:left="170"/>
      </w:pPr>
      <w:r>
        <w:rPr>
          <w:rFonts w:ascii="Calibri" w:hAnsi="Calibri"/>
          <w:b/>
          <w:color w:val="4A6B25"/>
          <w:sz w:val="15"/>
        </w:rPr>
        <w:t xml:space="preserve">2. </w:t>
      </w:r>
      <w:r>
        <w:rPr>
          <w:rFonts w:ascii="Calibri" w:hAnsi="Calibri"/>
          <w:b w:val="0"/>
          <w:color w:val="3A4A28"/>
          <w:sz w:val="17"/>
        </w:rPr>
        <w:t>Compass Diversified Leadership and Strategy — CEO Elias Sabo since 1998, NYSE non-compliance letter, Lugano $375M+ inventory fraud, corporate values; CompassDiversified.com, Yahoo Finance, Simply Wall St, 2025-2026</w:t>
      </w:r>
    </w:p>
    <w:p>
      <w:pPr>
        <w:spacing w:before="20" w:after="20"/>
        <w:ind w:left="170"/>
      </w:pPr>
      <w:r>
        <w:rPr>
          <w:rFonts w:ascii="Calibri" w:hAnsi="Calibri"/>
          <w:b/>
          <w:color w:val="4A6B25"/>
          <w:sz w:val="15"/>
        </w:rPr>
        <w:t xml:space="preserve">3. </w:t>
      </w:r>
      <w:r>
        <w:rPr>
          <w:rFonts w:ascii="Calibri" w:hAnsi="Calibri"/>
          <w:b w:val="0"/>
          <w:color w:val="3A4A28"/>
          <w:sz w:val="17"/>
        </w:rPr>
        <w:t>Compass Diversified ESG — Corporate responsibility programs, Sustainalytics coverage, environmental management; CompassDiversified.com, CSRHub,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CODI (Compass Diversified),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