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COIN</w:t>
      </w:r>
      <w:r>
        <w:rPr>
          <w:rFonts w:ascii="Calibri" w:hAnsi="Calibri"/>
          <w:b/>
          <w:color w:val="1A2010"/>
          <w:sz w:val="40"/>
        </w:rPr>
        <w:t xml:space="preserve">  Coinbase Global, Inc.</w:t>
      </w:r>
    </w:p>
    <w:p>
      <w:pPr>
        <w:spacing w:after="120"/>
      </w:pPr>
      <w:r>
        <w:rPr>
          <w:rFonts w:ascii="Calibri" w:hAnsi="Calibri"/>
          <w:b/>
          <w:color w:val="6E8450"/>
          <w:sz w:val="18"/>
        </w:rPr>
        <w:t>GROWTH SLEEVE · 2026-04-01 · Inspire: 35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Financial Services · Financial Data &amp; Stock Exchanges · NASDAQ · United States</w:t>
      </w:r>
    </w:p>
    <w:p>
      <w:pPr>
        <w:spacing w:after="80"/>
      </w:pPr>
      <w:r>
        <w:rPr>
          <w:rFonts w:ascii="Calibri" w:hAnsi="Calibri"/>
          <w:b w:val="0"/>
          <w:color w:val="3A4A28"/>
          <w:sz w:val="20"/>
        </w:rPr>
        <w:t>Coinbase Global operates the leading regulated cryptocurrency exchange in the United States and internationally. The platform provides brokerage, custody, staking, stablecoins (USDC), and derivatives trading across consumer and institutional segments. It now has 12 products generating over $100M in annualized revenue.</w:t>
      </w:r>
    </w:p>
    <w:p>
      <w:r>
        <w:rPr>
          <w:rFonts w:ascii="Calibri" w:hAnsi="Calibri"/>
          <w:b/>
          <w:color w:val="6E8450"/>
          <w:sz w:val="18"/>
        </w:rPr>
        <w:t>4,951 Employees · https://www.coinbase.com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Coinbase doubled total trading volume and crypto trading volume market share in 2025, and subscription &amp; services revenue grew 23% YoY to $2.8B — up 5.5x since the 2021 bull cycle peak [1]. The expansion into derivatives and international markets represents meaningful business model evolution, though growth remains heavily tied to crypto market cycles. AI Deployment (2/2): CEO Brian Armstrong mandated AI coding tools company-wide, with approximately one-third of Coinbase code now AI-generated and a target of 50% [2]. Monthly 'AI speedruns' spread adoption beyond engineering to product and finance teams. Market Share (2/2): Coinbase's crypto trading market share doubled YoY in 2025, solidifying its position as the dominant regulated U.S. exchange [1]. The company is the primary custodian for most U.S. Bitcoin ETFs, creating institutional lock-in. Pipeline (1/2): Expansion into derivatives, stablecoin infrastructure, and international markets is underway but without specific product launch dates or revenue targets for 2026 [1]. R&amp;D Intensity (0/1): R&amp;D spending is not disclosed separately, and the company's 4,951 headcount is lean relative to fintech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Coinbase's mission to 'increase economic freedom in the world' through an open financial system is specific and distinctive — it connects crypto infrastructure to a broader purpose of financial inclusion and decentralization. Leadership consistently references this mission in strategic decisions, including the politically neutral stance taken in 2020 [3]. However, the mission hasn't been tested across decades of execution. Community Impact (1/2): Coinbase has general corporate philanthropy through its GiveCrypto initiative and Coinbase Giving, though specific dollar amounts and measurable community impact data are limited. Employee Retention (0/2): The AI mandate controversy — firing engineers within one week for not adopting AI tools — raises questions about psychological safety and retention [2]. No public data on voluntary turnover or average tenure. Insider Buying (1/2): Insider transaction data shows mixed signals with some executive buying alongside routine planned selling; no evidence of significant concentrated insider buying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Coinbase's financial profile scores well on the mechanical Infrastructure rubric. D/E of 53.1% is well below the 70% target, reflecting a conservative balance sheet with $11.3B cash position [1]. ROE of 10.1% is below the 15% target but positive, earning partial credit (2x weight). Annual revenue growth of 9.4% YoY (2025 vs 2024) nearly hits the 10% target, and the 3-year revenue CAGR of ~31% far exceeds the 10% threshold (2x weight) [1]. Forward P/E of 30.0x is between the 20 target and 60 floor, scoring 0.75. Profit margin of 18.3% approaches the 20% target. Forward PEG of ~0.94 (Forward P/E 30 / ~32% forward EPS growth) is below the 1.0 target, scoring full marks (2x weight) [1]. Liquidity floor easily cleared: 12.6M avg volume x $176.60 = $2.2B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Coinbase under Brian Armstrong shows a genuine long-term vision for crypto's role in economic freedom, but the aggressive management style — firing engineers within a week for not adopting AI tools — and the extreme earnings volatility driven by crypto cycles create tension between infinite aspirations and finite execution patterns.</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Coinbase's mission to 'increase economic freedom in the world' is a genuine Just Cause — it's inclusive, service-oriented, idealistic, and bigger than any single product [3]. Armstrong has consistently referenced this mission since founding the company in 2012, and strategic decisions like the politically neutral stance (despite employee backlash), international expansion, and regulatory engagement trace back to it. However, 14 years of execution is not yet decades, and the mission hasn't survived a true existential crisis or leadership transition. 2 points on the weighted scale.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on trust. Armstrong's unilateral 'learn AI by Friday or attend the Saturday meeting' mandate — followed by firing non-compliant engineers — is a textbook finite move that prioritizes compliance over psychological safety [2]. AWS CEO Matt Garman publicly criticized this approach. However, the 4,951-person team is lean and has navigated the crypto winter of 2022-2023 without mass layoffs, and monthly AI speedruns suggest a learning culture within the AI mandate framework. 1 point on the weighted scale.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Armstrong consistently frames competition in improvement terms rather than winner-take-all language. Coinbase acknowledges Binance's global dominance, decentralized exchanges' innovation, and traditional finance's regulatory expertise as forces that push Coinbase to improve rather than threats to destroy [1]. The USDC partnership with Circle and ETF custody relationships show collaborative competitive positioning. 1 point on the weighted scale.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Coinbase has evolved from a simple Bitcoin exchange to a multi-product platform with 12 products generating $100M+ annually, including derivatives, staking, stablecoins, and institutional custody [1]. The shift from pure transaction revenue to subscription &amp; services ($2.8B, up 23%) represents meaningful business model evolution. However, these are incremental extensions rather than transformative reinventions — the company remains fundamentally a crypto exchange. 1 point on the weighted scale.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Armstrong's 2020 politically neutral stance cost the company employees and public criticism, which qualifies as a courageous decision in service of the mission [3]. The AI mandate, while controversial, shows willingness to force organizational change. However, Coinbase has not made costly long-term bets during downturns — the 2022 crypto winter saw headcount reductions rather than counter-cyclical investment. 1 point on the weighted scale.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Coinbase is the dominant regulated cryptocurrency exchange in the U.S., generating $7.2B in 2025 revenue with a diversified product suite that now includes 12 products at $100M+ annualized revenue [1]. The subscription &amp; services business ($2.8B, up 23% YoY and 5.5x since 2021 peak) is reducing cyclicality, while trading volume doubled YoY and market share more than doubled [1]. At a forward P/E of 30x with ~32% forward EPS growth (PEG ~0.94), the valuation is reasonable for a company with strong competitive moats in custody (primary custodian for most U.S. Bitcoin ETFs), regulatory compliance, and institutional relationships. The $11.3B cash position and 53% D/E ratio provide substantial financial flexibility. Aggressive AI adoption (one-third of code AI-generated) is driving operational efficiency [2].</w:t>
      </w:r>
    </w:p>
    <w:p>
      <w:pPr>
        <w:spacing w:after="120"/>
      </w:pPr>
      <w:r>
        <w:rPr>
          <w:rFonts w:ascii="Calibri" w:hAnsi="Calibri"/>
          <w:b w:val="0"/>
          <w:color w:val="3A4A28"/>
          <w:sz w:val="20"/>
        </w:rPr>
        <w:t>The bear case centers on crypto cyclicality and revenue concentration. Q4 2025 missed expectations with EPS of $0.66 vs $1.05 consensus, and the stock is down 23% YTD as crypto prices softened [1]. Revenue remains heavily correlated with crypto market activity — the -22% QoQ Q4 decline demonstrates how quickly volumes can evaporate. The trailing P/E of 39.7x is expensive for a business with 18.3% profit margin and 10.1% ROE. Regulatory risk remains: while the SEC lawsuit was largely resolved, the evolving regulatory landscape could impose new compliance costs or restrict product offerings. Competition from decentralized exchanges and traditional finance firms entering crypto (Fidelity, BlackRock) could compress Coinbase's transaction fees over time. Armstrong's aggressive management style (firing engineers for AI non-compliance) creates retention risk in a competitive talent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Subscription &amp; services revenue trajectory toward $3B+ annually reduces crypto cycle dependence and demonstrates recurring revenue quality [1]</w:t>
      </w:r>
    </w:p>
    <w:p>
      <w:pPr>
        <w:spacing w:before="40" w:after="40"/>
        <w:ind w:left="283"/>
      </w:pPr>
      <w:r>
        <w:rPr>
          <w:rFonts w:ascii="Calibri" w:hAnsi="Calibri"/>
          <w:b/>
          <w:color w:val="4A6B25"/>
          <w:sz w:val="20"/>
        </w:rPr>
        <w:t xml:space="preserve">2. </w:t>
      </w:r>
      <w:r>
        <w:rPr>
          <w:rFonts w:ascii="Calibri" w:hAnsi="Calibri"/>
          <w:b w:val="0"/>
          <w:color w:val="3A4A28"/>
          <w:sz w:val="20"/>
        </w:rPr>
        <w:t>Derivatives trading expansion — volumes already doubled YoY with higher margins than spot trading, representing a new earnings growth vector [1]</w:t>
      </w:r>
    </w:p>
    <w:p>
      <w:pPr>
        <w:spacing w:before="40" w:after="40"/>
        <w:ind w:left="283"/>
      </w:pPr>
      <w:r>
        <w:rPr>
          <w:rFonts w:ascii="Calibri" w:hAnsi="Calibri"/>
          <w:b/>
          <w:color w:val="4A6B25"/>
          <w:sz w:val="20"/>
        </w:rPr>
        <w:t xml:space="preserve">3. </w:t>
      </w:r>
      <w:r>
        <w:rPr>
          <w:rFonts w:ascii="Calibri" w:hAnsi="Calibri"/>
          <w:b w:val="0"/>
          <w:color w:val="3A4A28"/>
          <w:sz w:val="20"/>
        </w:rPr>
        <w:t>Institutional custody moat deepening as more crypto ETFs launch and traditional finance allocates to digital assets, creating regulatory-protected recurring revenue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Crypto market cyclicality — Q4 2025 miss showed transaction revenue can decline 22% quarter-over-quarter when crypto sentiment cools, making earnings highly unpredictable [1]</w:t>
      </w:r>
    </w:p>
    <w:p>
      <w:pPr>
        <w:spacing w:before="40" w:after="40"/>
        <w:ind w:left="283"/>
      </w:pPr>
      <w:r>
        <w:rPr>
          <w:rFonts w:ascii="Calibri" w:hAnsi="Calibri"/>
          <w:b/>
          <w:color w:val="4A6B25"/>
          <w:sz w:val="20"/>
        </w:rPr>
        <w:t xml:space="preserve">2. </w:t>
      </w:r>
      <w:r>
        <w:rPr>
          <w:rFonts w:ascii="Calibri" w:hAnsi="Calibri"/>
          <w:b w:val="0"/>
          <w:color w:val="3A4A28"/>
          <w:sz w:val="20"/>
        </w:rPr>
        <w:t>Fee compression from decentralized exchanges and traditional finance entrants (Fidelity, BlackRock) building competing crypto infrastructure with lower-cost models</w:t>
      </w:r>
    </w:p>
    <w:p>
      <w:pPr>
        <w:spacing w:before="40" w:after="40"/>
        <w:ind w:left="283"/>
      </w:pPr>
      <w:r>
        <w:rPr>
          <w:rFonts w:ascii="Calibri" w:hAnsi="Calibri"/>
          <w:b/>
          <w:color w:val="4A6B25"/>
          <w:sz w:val="20"/>
        </w:rPr>
        <w:t xml:space="preserve">3. </w:t>
      </w:r>
      <w:r>
        <w:rPr>
          <w:rFonts w:ascii="Calibri" w:hAnsi="Calibri"/>
          <w:b w:val="0"/>
          <w:color w:val="3A4A28"/>
          <w:sz w:val="20"/>
        </w:rPr>
        <w:t>Talent retention risk from Armstrong's aggressive AI mandate and 'comply or leave' management approach, which may alienate experienced engineers in a competitive hiring market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Coinbase's core business — crypto exchange, custody, and staking — involves regulated financial infrastructure with meaningful switching costs and compliance moats. However, AI-powered trading platforms and robo-advisory services could compress transaction fees, and AI tools are enabling competitors to build exchange infrastructure more cheaply [2]. The exchange model faces structural pressure from decentralized exchanges (DEXs) that AI could accelerate. Coinbase's regulated status and institutional custody relationships provide protection, but the commoditizing effect of AI on trading infrastructure is real. AI Opportunity (1/1): Coinbase actively generates value from AI — one-third of code is AI-generated, Armstrong targets 50%, and AI is being deployed across product, compliance, and customer support functions [2]. The company is also positioned to benefit if AI agents require crypto payment rails.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Systemic Risk Mitigation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Coinbase Q4 2025 &amp; FY2025 Earnings Release — $7.2B revenue, doubled trading volume and market share, $11.3B cash, February 2026</w:t>
      </w:r>
    </w:p>
    <w:p>
      <w:pPr>
        <w:spacing w:before="20" w:after="20"/>
        <w:ind w:left="170"/>
      </w:pPr>
      <w:r>
        <w:rPr>
          <w:rFonts w:ascii="Calibri" w:hAnsi="Calibri"/>
          <w:b/>
          <w:color w:val="4A6B25"/>
          <w:sz w:val="15"/>
        </w:rPr>
        <w:t xml:space="preserve">2. </w:t>
      </w:r>
      <w:r>
        <w:rPr>
          <w:rFonts w:ascii="Calibri" w:hAnsi="Calibri"/>
          <w:b w:val="0"/>
          <w:color w:val="3A4A28"/>
          <w:sz w:val="17"/>
        </w:rPr>
        <w:t>TechCrunch, Fortune — Coinbase CEO Brian Armstrong AI mandate, one-third of code AI-generated, engineers fired for non-compliance, August 2025</w:t>
      </w:r>
    </w:p>
    <w:p>
      <w:pPr>
        <w:spacing w:before="20" w:after="20"/>
        <w:ind w:left="170"/>
      </w:pPr>
      <w:r>
        <w:rPr>
          <w:rFonts w:ascii="Calibri" w:hAnsi="Calibri"/>
          <w:b/>
          <w:color w:val="4A6B25"/>
          <w:sz w:val="15"/>
        </w:rPr>
        <w:t xml:space="preserve">3. </w:t>
      </w:r>
      <w:r>
        <w:rPr>
          <w:rFonts w:ascii="Calibri" w:hAnsi="Calibri"/>
          <w:b w:val="0"/>
          <w:color w:val="3A4A28"/>
          <w:sz w:val="17"/>
        </w:rPr>
        <w:t>The Block, Fortune — Coinbase CEO political neutrality controversy and ESG positioning, 2020-2025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COIN (Coinbase Global), retrieved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