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COLB</w:t>
      </w:r>
      <w:r>
        <w:rPr>
          <w:rFonts w:ascii="Calibri" w:hAnsi="Calibri"/>
          <w:b/>
          <w:color w:val="1A2010"/>
          <w:sz w:val="40"/>
        </w:rPr>
        <w:t xml:space="preserve">  Columbia Banking System, Inc.</w:t>
      </w:r>
    </w:p>
    <w:p>
      <w:pPr>
        <w:spacing w:after="120"/>
      </w:pPr>
      <w:r>
        <w:rPr>
          <w:rFonts w:ascii="Calibri" w:hAnsi="Calibri"/>
          <w:b/>
          <w:color w:val="6E8450"/>
          <w:sz w:val="18"/>
        </w:rPr>
        <w:t>DIVIDEND SLEEVE · 2026-04-10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Columbia Banking System is the holding company for Columbia Bank (formerly Umpqua Bank), one of the largest banks headquartered in the Western U.S. with $66.8B in total assets following the 2023 Umpqua merger and 2025 Pacific Premier Bancorp acquisition. The bank offers commercial and consumer banking, wealth management, treasury management, and mortgage services. Founded in 1953, headquartered in Tacoma, Washington.</w:t>
      </w:r>
    </w:p>
    <w:p>
      <w:r>
        <w:rPr>
          <w:rFonts w:ascii="Calibri" w:hAnsi="Calibri"/>
          <w:b/>
          <w:color w:val="6E8450"/>
          <w:sz w:val="18"/>
        </w:rPr>
        <w:t>6,005 Employees · https://www.columbiabankingsystem.com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Columbia completed two transformative acquisitions — the Umpqua Holdings merger in 2023 (creating a $52B asset bank) and the Pacific Premier Bancorp acquisition closing August 2025 (growing to $66.8B assets) [1]. Full-year 2025 NII grew 17% to $2B, non-interest income surged 41% to $298M, and loan origination volume rose 22% YoY, demonstrating successful integration execution [1]. However, these are M&amp;A-driven rather than organic product innovations. AI Deployment (0/2): No evidence of AI-powered banking products or AI-driven operational efficiencies. The company references 'digital and mobile banking solutions' but no specific AI deployments with measurable results [2]. Market Share (1/2): Columbia is now a top-30 U.S. bank by assets and the leading regional bank on the West Coast, with a strong franchise across Washington, Oregon, California, and other Western states [2]. The Pacific Premier acquisition extends its California presence. Pipeline (0/2): No next-generation products or services announced with specific timelines. The primary near-term focus is Pacific Premier systems conversion in Q1 2026 and cost savings realization by June 2026 [1]. R&amp;D Intensity (1/1): The company invests in technology infrastructure and digital banking capabilities consistent with regional bank peers, and the merger combinations create capacity for increased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Columbia's stated purpose emphasizes community banking and being 'the West Coast's leading regional bank,' which is clear and directional but focused on market position rather than a deeper purpose. The Umpqua heritage brand was known for its distinctive community-focused culture, and Columbia has inherited elements of this [2]. Community Impact (2/2): The bank has a strong Community Benefits Agreement with the National Community Reinvestment Coalition. Associates receive 40 paid volunteer hours annually, with 31,427 volunteer hours logged in 2023 (worth $1M+) [3]. The bank serves communities across the Western U.S. with a focus on local business lending and economic development. Employee Retention (1/2): CEO Clint Stein has led Columbia since 2020 and was previously CFO, demonstrating internal development and leadership continuity. The Umpqua heritage culture was known for employee engagement, though integration of two major acquisitions (Umpqua 2023, Pacific Premier 2025) inevitably creates organizational disruption [2]. Insider Buying (0/2): No evidence of notable insider buying. The $100M Q4 buyback is corporate-level, and no personal insider purchases were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Columbia's financial profile reflects a well-capitalized regional bank generating strong net interest income following two major acquisitions. NIM expanded to 4.06% in Q4 2025 (up 22bps sequentially), driving $627M quarterly NII [1]. Forward P/E of 8.7x is extremely attractive for a bank with 19% revenue growth and expanding margins. Profit margin of 25.6% is strong for a regional bank [4]. ROE of 8.5% is below the 15% target, reflecting goodwill dilution from acquisitions — CET1 ratio of 11.8% and total risk-based capital of 13.6% demonstrate solid capitalization [1]. Payout ratio of 63% is elevated vs. the 40% target. The dividend has been paid for 15+ consecutive years with 5 years of growth, though the 5yr dividend CAGR of 1.6% is well below the 6% target. Non-performing assets at 0.30% of total assets indicate sound credit quality [1]. Liquidity floor cleared at $88.1M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Columbia Banking demonstrates mixed infinite game characteristics. The acquisition-driven growth strategy (Umpqua 2023, Pacific Premier 2025) shows ambition to build an enduring Western franchise, and the community banking heritage provides a purpose beyond profit. However, the rapid-fire M&amp;A approach and focus on scale metrics suggest a company playing to grow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Columbia's inherited Umpqua culture — community-focused banking with a distinctive emphasis on local relationships and community investment — provides a genuine cause beyond pure profit. The Community Benefits Agreement and 31,000+ annual volunteer hours demonstrate the cause is lived out, not just stated [3]. However, the rapid succession of two major acquisitions suggests scale and market position may be driving strategy more than the community banking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Clint Stein has provided stable leadership since 2020, overseeing two transformative mergers while maintaining operational continuity [2]. The Umpqua heritage brand was known for its distinctive employee-first culture, and the appointment of a new CHRO suggests ongoing investment in human capital. However, integrating three banks (Columbia, Umpqua, Pacific Premier) within three years inevitably strains organizational trust as teams navigate cultural alignment and redundancy concerns.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Columbia acknowledges the competitive landscape of West Coast banking — competing against JPMorgan Chase, Bank of America, and Wells Fargo for commercial and consumer banking while using its regional expertise and community relationships as differentiators [2]. The acquisition strategy itself recognizes that scale matters in competing with national banks, showing self-awareness about competitive gaps.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Columbia has fundamentally transformed from a small Washington state bank into the West Coast's leading regional bank through the Umpqua merger ($52B assets) and Pacific Premier acquisition ($66.8B assets) [1][2]. This represents significant strategic adaptation, though the core business model (community banking) remains unchanged — the pivot is in scale, not in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back-to-back transformative acquisitions (Umpqua 2023, Pacific Premier 2025) while maintaining operational performance requires leadership conviction and risk-taking [1]. CEO Stein committed to aggressive integration timelines with all cost savings by June 2026. The $100M Q4 buyback during integration shows capital allocation confidence. However, these are growth-through-acquisition decisions rather than the kind of principled sacrifice Sinek values most.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Columbia Banking System has built the West Coast's premier regional bank franchise through transformative M&amp;A — the 2023 Umpqua merger and 2025 Pacific Premier acquisition created a $66.8B-asset institution with $2B+ annual net interest income [1]. Q4 2025 NIM expanded to 4.06% (up 22bps sequentially) with NII surging 24% to $627M, demonstrating the earnings power of the combined franchise. Non-interest income grew 41% YoY to $298M, and loan origination volume rose 22%, showing healthy organic momentum beyond acquisition-driven growth [1]. At 8.7x forward earnings with a 5.0% dividend yield and 0.30% non-performing assets, COLB offers compelling value for income investors. Pacific Premier integration completion (systems conversion Q1 2026, cost savings by June 2026) should unlock additional efficiency gains and margin expansion.</w:t>
      </w:r>
    </w:p>
    <w:p>
      <w:pPr>
        <w:spacing w:after="120"/>
      </w:pPr>
      <w:r>
        <w:rPr>
          <w:rFonts w:ascii="Calibri" w:hAnsi="Calibri"/>
          <w:b w:val="0"/>
          <w:color w:val="3A4A28"/>
          <w:sz w:val="20"/>
        </w:rPr>
        <w:t>The bear case centers on integration execution risk and macro banking headwinds. Columbia is simultaneously digesting two major acquisitions (Umpqua and Pacific Premier) within three years, creating technology integration complexity and potential customer/employee attrition [1]. ROE of 8.5% significantly lags the 15% target, reflecting goodwill dilution from acquisition premiums — tangible book value of $19.11/share vs. $29.57 stock price implies the market is paying 1.55x TBV for unproven earnings power. The 63% payout ratio is elevated for a bank in active integration mode, potentially limiting capital flexibility if credit quality deteriorates. 5yr dividend growth CAGR of only 1.6% suggests minimal income growth for dividend investors despite the high current yield. The Western U.S. commercial real estate market (a key COLB lending segment) faces secular pressure from remote work and rising vacancy rates. Regional banks remain under regulatory scrutiny post-SVB, and COLB's rapid asset growth to $66.8B brings increased compliance burden [4]. Revenue growth of 19% is almost entirely acquisition-driven — organic growth is significantly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Pacific Premier Bancorp systems conversion completing Q1 2026 with full cost savings realization by June 2026, expected to drive efficiency ratio improvement from 51.4% operating level [1]</w:t>
      </w:r>
    </w:p>
    <w:p>
      <w:pPr>
        <w:spacing w:before="40" w:after="40"/>
        <w:ind w:left="283"/>
      </w:pPr>
      <w:r>
        <w:rPr>
          <w:rFonts w:ascii="Calibri" w:hAnsi="Calibri"/>
          <w:b/>
          <w:color w:val="4A6B25"/>
          <w:sz w:val="20"/>
        </w:rPr>
        <w:t xml:space="preserve">2. </w:t>
      </w:r>
      <w:r>
        <w:rPr>
          <w:rFonts w:ascii="Calibri" w:hAnsi="Calibri"/>
          <w:b w:val="0"/>
          <w:color w:val="3A4A28"/>
          <w:sz w:val="20"/>
        </w:rPr>
        <w:t>NIM expansion trajectory — Q4 2025 NIM of 4.06% with room for further improvement as Pacific Premier's balance sheet is optimized and rate environment stabilizes [1]</w:t>
      </w:r>
    </w:p>
    <w:p>
      <w:pPr>
        <w:spacing w:before="40" w:after="40"/>
        <w:ind w:left="283"/>
      </w:pPr>
      <w:r>
        <w:rPr>
          <w:rFonts w:ascii="Calibri" w:hAnsi="Calibri"/>
          <w:b/>
          <w:color w:val="4A6B25"/>
          <w:sz w:val="20"/>
        </w:rPr>
        <w:t xml:space="preserve">3. </w:t>
      </w:r>
      <w:r>
        <w:rPr>
          <w:rFonts w:ascii="Calibri" w:hAnsi="Calibri"/>
          <w:b w:val="0"/>
          <w:color w:val="3A4A28"/>
          <w:sz w:val="20"/>
        </w:rPr>
        <w:t>Loan origination momentum — 22% YoY volume growth with healthy pipelines and the combined West Coast franchise providing cross-sell opportunities across commercial and wealth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digesting two transformative acquisitions within three years creates technology, culture, and operational risk, with Pacific Premier conversion still underway in Q1 2026 [1]</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concentration — Western U.S. CRE markets face headwinds from remote work and rising vacancy rates, which could drive provision increases from the current low 0.30% NPA level</w:t>
      </w:r>
    </w:p>
    <w:p>
      <w:pPr>
        <w:spacing w:before="40" w:after="40"/>
        <w:ind w:left="283"/>
      </w:pPr>
      <w:r>
        <w:rPr>
          <w:rFonts w:ascii="Calibri" w:hAnsi="Calibri"/>
          <w:b/>
          <w:color w:val="4A6B25"/>
          <w:sz w:val="20"/>
        </w:rPr>
        <w:t xml:space="preserve">3. </w:t>
      </w:r>
      <w:r>
        <w:rPr>
          <w:rFonts w:ascii="Calibri" w:hAnsi="Calibri"/>
          <w:b w:val="0"/>
          <w:color w:val="3A4A28"/>
          <w:sz w:val="20"/>
        </w:rPr>
        <w:t>Acquisition-dependent growth — excluding M&amp;A, organic growth metrics are significantly lower, and the bank's ROE of 8.5% lags peers due to goodwill dilution from acquisition premiums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Columbia's core community and commercial banking business involves relationship-driven lending, regulatory compliance, and physical branch operations that create meaningful barriers to AI displacement. Small business lending, commercial real estate underwriting, and wealth management require human judgment and local market knowledge [2]. However, the broader banking industry faces AI disruption risk — neobanks and fintech platforms are using AI for automated lending decisions, fraud detection, and personalized financial services that could pressure traditional banks' deposit base and fee income. AI-powered lending platforms could compress margins on standardized products. Regional banks are particularly exposed as they lack the scale to build proprietary AI platforms competitive with JPMorgan or tech-forward banks. AI Opportunity (1/1): Columbia references digital banking solutions and technology investments from its merger capacity, though no specific AI revenue or AI-driven products have been disclosed. The scale achieved through acquisitions ($66.8B assets) provides resources for eventual AI deployment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Columbia Banking System Q4/FY2025 Earnings Release — $66.8B assets, 4.06% NIM, $627M NII, Pacific Premier integration update, January 2026</w:t>
      </w:r>
    </w:p>
    <w:p>
      <w:pPr>
        <w:spacing w:before="20" w:after="20"/>
        <w:ind w:left="170"/>
      </w:pPr>
      <w:r>
        <w:rPr>
          <w:rFonts w:ascii="Calibri" w:hAnsi="Calibri"/>
          <w:b/>
          <w:color w:val="4A6B25"/>
          <w:sz w:val="15"/>
        </w:rPr>
        <w:t xml:space="preserve">2. </w:t>
      </w:r>
      <w:r>
        <w:rPr>
          <w:rFonts w:ascii="Calibri" w:hAnsi="Calibri"/>
          <w:b w:val="0"/>
          <w:color w:val="3A4A28"/>
          <w:sz w:val="17"/>
        </w:rPr>
        <w:t>Columbia Banking System corporate website, Oregon Bankers Association — leadership, Umpqua merger history, West Coast franchise strategy</w:t>
      </w:r>
    </w:p>
    <w:p>
      <w:pPr>
        <w:spacing w:before="20" w:after="20"/>
        <w:ind w:left="170"/>
      </w:pPr>
      <w:r>
        <w:rPr>
          <w:rFonts w:ascii="Calibri" w:hAnsi="Calibri"/>
          <w:b/>
          <w:color w:val="4A6B25"/>
          <w:sz w:val="15"/>
        </w:rPr>
        <w:t xml:space="preserve">3. </w:t>
      </w:r>
      <w:r>
        <w:rPr>
          <w:rFonts w:ascii="Calibri" w:hAnsi="Calibri"/>
          <w:b w:val="0"/>
          <w:color w:val="3A4A28"/>
          <w:sz w:val="17"/>
        </w:rPr>
        <w:t>Columbia Banking System 2023 ESG Report — Community Benefits Agreement, 31,427 volunteer hours, employee engagement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COLB (Columbia Banking System),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