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COO</w:t>
      </w:r>
      <w:r>
        <w:rPr>
          <w:rFonts w:ascii="Calibri" w:hAnsi="Calibri"/>
          <w:b/>
          <w:color w:val="1A2010"/>
          <w:sz w:val="40"/>
        </w:rPr>
        <w:t xml:space="preserve">  The Cooper Companies, Inc.</w:t>
      </w:r>
    </w:p>
    <w:p>
      <w:pPr>
        <w:spacing w:after="120"/>
      </w:pPr>
      <w:r>
        <w:rPr>
          <w:rFonts w:ascii="Calibri" w:hAnsi="Calibri"/>
          <w:b/>
          <w:color w:val="6E8450"/>
          <w:sz w:val="18"/>
        </w:rPr>
        <w:t>GROWTH SLEEVE · 2026-04-17 · Inspire: -82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Cooper Companies develops, manufactures, and markets contact lenses and women's healthcare products through two segments: CooperVision (soft contact lenses including spherical, toric, and multifocal) and CooperSurgical (fertility, diagnostics, and surgical products for women's health).</w:t>
      </w:r>
    </w:p>
    <w:p>
      <w:r>
        <w:rPr>
          <w:rFonts w:ascii="Calibri" w:hAnsi="Calibri"/>
          <w:b/>
          <w:color w:val="6E8450"/>
          <w:sz w:val="18"/>
        </w:rPr>
        <w:t>15,000 Employees · https://www.coopercos.com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CooperVision delivered 8% revenue growth to $695.1M in Q1 FY2026, led by 10% growth in toric and multifocal lenses, expanding operating margins from 28% to 30% YoY [1]. CooperSurgical fertility revenue grew 6%, demonstrating successful category expansion beyond core contact lenses. AI Deployment (0/2): No evidence of AI-powered products shipping or quantified AI-driven efficiency gains; Cooper remains a traditional medical device manufacturer. Market Share (2/2): CooperVision is a top-3 global contact lens manufacturer competing with Alcon and Johnson &amp; Johnson Vision, with particular strength in specialty lenses (toric, multifocal) where it continues to gain share [1]. Pipeline (1/2): Guided FY2026 revenue of $4.3-$4.35B with organic growth of 4.5-5.5% and raised free cash flow guidance to $600-625M, though no transformative next-gen products announced [1]. R&amp;D Intensity (1/1): Cooper invests above the medical device industry average in R&amp;D, supporting continuous lens innovation and CooperSurgical fertility technology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Cooper's purpose centers on 'improving the quality of life one person at a time' through vision care and women's health — clear and connected to products but not distinctive or transformative compared to peers [3]. Community Impact (1/2): Published ESG reports documenting GHG emission reductions (7%+ in 2022 while increasing production), healthcare access programs in underserved communities, and employee development investments [3]. Employee Retention (1/2): Glassdoor rating of 3.4/5 with 57% recommending to a friend; employees note 'kind people' and leadership that 'walks the talk,' though culture/values rating of 3.0 suggests average engagement [4]. Insider Buying (1/2): Meaningful net insider buying — CEO Al White purchased 10,000 shares at $68.39, CooperVision president bought 1,450 shares, and CFO bought 1,525 shares in September 2025, signaling management conviction at decade-low valuations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Cooper's financials show a conservatively leveraged medical device profile. D/E of 33.2% scores 1.0 (target ≤70%). ROE of 4.87% is weak at 0.32 (floor 0%, target 15%), depressed by acquisition-related goodwill amortization. Revenue growth YoY of 6.2% scores 0.87 (target 10%). 5yr revenue CAGR of ~5.5% scores 0.70. Forward P/E of 13.8 scores 1.0 (target ≤20) — attractively valued vs. medical device peers. Profit margin of 9.67% scores 0.48 (target 20%). PEG of 1.81 scores 0.60 (floor 3, target 1). Growth-weighted calculation: (1×1.0 + 2×0.32 + 1×0.87 + 2×0.70 + 1×1.0 + 1×0.48 + 2×0.60) = 6.60 / 10 × 10 = 7 [1][6]. Liquidity floor cleared: 1.96M avg vol × $69.38 = $135.9M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Cooper Companies demonstrates mixed infinite-game qualities. The company has maintained a consistent focus on vision care and women's health for decades, with a clear purpose of improving lives through healthcare. However, the company's growth has been heavily acquisition-driven (PARAGARD, CooperSurgical fertility portfolio), and leadership language tends toward market share and financial metrics rather than transformative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Cooper's cause — improving lives through vision care and women's health — has been consistently pursued across decades and leadership transitions, with CooperVision and CooperSurgical both serving genuine medical needs [1][3]. The cause is genuine and drives strategic decisions (entering fertility, expanding multifocal lenses for aging populations), earning 2 points. However, it lacks the boldness and idealism of a truly transformative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Cooper's Glassdoor rating of 3.4/5 and employee comments about leadership that 'walks the talk' suggest adequate organizational trust [4]. The company employs 15,000 globally with stable operations, though the culture/values rating of 3.0 indicates room for improvement. CEO Al White has led since 2020, providing leadership continuity. No evidence of exceptional trust or empowerment programs, but no major cultural red flags either —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Cooper explicitly acknowledges the strengths of rivals Alcon and Johnson &amp; Johnson Vision, using competitive dynamics to improve its own toric and multifocal lens offerings rather than pursuing a market-share-destruction narrative [1]. Management frames CooperVision's specialty lens leadership as a differentiation strategy inspired by competitor strengths —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Cooper has evolved incrementally over time — expanding from contact lenses into women's health through the CooperSurgical acquisition, then building a fertility franchise through further acquisitions including Cook Medical's reproductive health business [1]. These moves show strategic adaptability but represent adjacent-market extensions rather than transformative reinvention —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Al White's decision to maintain R&amp;D and capital investment through the post-pandemic period while competitors pulled back, and insider buying at decade-low valuations in September 2025, demonstrate some willingness to invest counter-cyclically [5]. Raised free cash flow guidance to $600-625M while continuing strategic investments shows balanced conviction —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Cooper Companies is a steady medical device compounder with a defensible duopoly position in specialty contact lenses and a growing fertility franchise. Q1 FY2026 revenue of $1.024B grew 6% with CooperVision margins expanding to 30% [1]. Non-GAAP EPS of $1.10 surged 20% YoY, with full-year guidance raised to $4.58-$4.66 EPS and $600-625M free cash flow [1]. At 13.8x forward P/E, the stock trades at a significant discount to medical device peers (typically 20-30x), reflecting acquisition-related amortization that depresses GAAP earnings but obscures underlying profitability. The specialty lens mix shift (toric/multifocal growing 10%) provides pricing power as the global myopia epidemic and aging demographics expand the addressable market. CooperSurgical fertility growth of 6% taps a secular trend in delayed parenthood [1].</w:t>
      </w:r>
    </w:p>
    <w:p>
      <w:pPr>
        <w:spacing w:after="120"/>
      </w:pPr>
      <w:r>
        <w:rPr>
          <w:rFonts w:ascii="Calibri" w:hAnsi="Calibri"/>
          <w:b w:val="0"/>
          <w:color w:val="3A4A28"/>
          <w:sz w:val="20"/>
        </w:rPr>
        <w:t>The bear case centers on tepid organic growth and acquisition dependency. Consolidated organic growth of 3% in Q1 FY2026 is underwhelming for a medical device company trading on growth expectations [1]. GAAP ROE of just 4.87% reflects the heavy goodwill and intangible asset burden from serial acquisitions, and D/E of 33% understates total leverage when including $2.8B in debt against $125M cash [6]. The contact lens market is mature in developed markets (low-single-digit growth), and competition from Alcon and J&amp;J Vision pressures pricing. CooperSurgical faces ethical headwinds from fertility treatments (IVF) that may limit the investor universe. Forward EPS guidance implies a dramatic GAAP improvement from $2.01 to ~$5.02, which introduces execution risk if acquisition synergies or margin expansion disappoint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Specialty lens mix shift — toric and multifocal lenses growing 10% drive margin expansion as CooperVision operating margins reach 30%, with the global myopia epidemic expanding the addressable market [1]</w:t>
      </w:r>
    </w:p>
    <w:p>
      <w:pPr>
        <w:spacing w:before="40" w:after="40"/>
        <w:ind w:left="283"/>
      </w:pPr>
      <w:r>
        <w:rPr>
          <w:rFonts w:ascii="Calibri" w:hAnsi="Calibri"/>
          <w:b/>
          <w:color w:val="4A6B25"/>
          <w:sz w:val="20"/>
        </w:rPr>
        <w:t xml:space="preserve">2. </w:t>
      </w:r>
      <w:r>
        <w:rPr>
          <w:rFonts w:ascii="Calibri" w:hAnsi="Calibri"/>
          <w:b w:val="0"/>
          <w:color w:val="3A4A28"/>
          <w:sz w:val="20"/>
        </w:rPr>
        <w:t>CooperSurgical fertility franchise growing 6% benefits from secular delayed-parenthood trends and expanding IVF accessibility in developing markets [1]</w:t>
      </w:r>
    </w:p>
    <w:p>
      <w:pPr>
        <w:spacing w:before="40" w:after="40"/>
        <w:ind w:left="283"/>
      </w:pPr>
      <w:r>
        <w:rPr>
          <w:rFonts w:ascii="Calibri" w:hAnsi="Calibri"/>
          <w:b/>
          <w:color w:val="4A6B25"/>
          <w:sz w:val="20"/>
        </w:rPr>
        <w:t xml:space="preserve">3. </w:t>
      </w:r>
      <w:r>
        <w:rPr>
          <w:rFonts w:ascii="Calibri" w:hAnsi="Calibri"/>
          <w:b w:val="0"/>
          <w:color w:val="3A4A28"/>
          <w:sz w:val="20"/>
        </w:rPr>
        <w:t>Free cash flow inflection to $600-625M in FY2026 enables debt reduction from $2.8B, improving GAAP ROE and potentially funding shareholder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earnings distortion from $2.8B in acquisition-related goodwill and intangibles — ROE of 4.87% may mask or reflect genuine capital allocation challenges [6]</w:t>
      </w:r>
    </w:p>
    <w:p>
      <w:pPr>
        <w:spacing w:before="40" w:after="40"/>
        <w:ind w:left="283"/>
      </w:pPr>
      <w:r>
        <w:rPr>
          <w:rFonts w:ascii="Calibri" w:hAnsi="Calibri"/>
          <w:b/>
          <w:color w:val="4A6B25"/>
          <w:sz w:val="20"/>
        </w:rPr>
        <w:t xml:space="preserve">2. </w:t>
      </w:r>
      <w:r>
        <w:rPr>
          <w:rFonts w:ascii="Calibri" w:hAnsi="Calibri"/>
          <w:b w:val="0"/>
          <w:color w:val="3A4A28"/>
          <w:sz w:val="20"/>
        </w:rPr>
        <w:t>Mature contact lens market in developed economies limits CooperVision organic growth to mid-single digits, creating acquisition dependency for top-line acceleration [1]</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two healthcare niches (vision + fertility) with limited diversification; regulatory changes to IVF coverage or contact lens prescribing could materially impact either segment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Cooper's core businesses — manufacturing physical contact lenses and surgical medical devices — are structurally immune to AI disruption. Contact lens production requires precision polymer manufacturing, regulatory approval (FDA Class II/III), and physical distribution that AI cannot replicate or substitute [1]. CooperSurgical's fertility and surgical products involve physical medical procedures with regulatory oversight. AI cannot replace the need for vision correction or fertility treatments. If anything, AI-driven diagnostics could expand the addressable market by identifying more patients needing contact lenses or fertility services. No analysts have flagged AI as a displacement risk for Cooper. AI Opportunity (0/1): Cooper does not generate meaningful revenue from AI products — its AI usage is limited to internal operational optimization rather than customer-facing AI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In Vitro Fertilization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CooperCompanies Q1 FY2026 Earnings Release — $1.024B revenue, 6% growth, 20% EPS growth, March 5, 2026</w:t>
      </w:r>
    </w:p>
    <w:p>
      <w:pPr>
        <w:spacing w:before="20" w:after="20"/>
        <w:ind w:left="170"/>
      </w:pPr>
      <w:r>
        <w:rPr>
          <w:rFonts w:ascii="Calibri" w:hAnsi="Calibri"/>
          <w:b/>
          <w:color w:val="4A6B25"/>
          <w:sz w:val="15"/>
        </w:rPr>
        <w:t xml:space="preserve">2. </w:t>
      </w:r>
      <w:r>
        <w:rPr>
          <w:rFonts w:ascii="Calibri" w:hAnsi="Calibri"/>
          <w:b w:val="0"/>
          <w:color w:val="3A4A28"/>
          <w:sz w:val="17"/>
        </w:rPr>
        <w:t>Vision Monday — CooperCompanies Q1 2026 revenue growth update and guidance, March 2026</w:t>
      </w:r>
    </w:p>
    <w:p>
      <w:pPr>
        <w:spacing w:before="20" w:after="20"/>
        <w:ind w:left="170"/>
      </w:pPr>
      <w:r>
        <w:rPr>
          <w:rFonts w:ascii="Calibri" w:hAnsi="Calibri"/>
          <w:b/>
          <w:color w:val="4A6B25"/>
          <w:sz w:val="15"/>
        </w:rPr>
        <w:t xml:space="preserve">3. </w:t>
      </w:r>
      <w:r>
        <w:rPr>
          <w:rFonts w:ascii="Calibri" w:hAnsi="Calibri"/>
          <w:b w:val="0"/>
          <w:color w:val="3A4A28"/>
          <w:sz w:val="17"/>
        </w:rPr>
        <w:t>CooperCompanies 2023 ESG Report — GHG reductions, community impact, sustainability commitments</w:t>
      </w:r>
    </w:p>
    <w:p>
      <w:pPr>
        <w:spacing w:before="20" w:after="20"/>
        <w:ind w:left="170"/>
      </w:pPr>
      <w:r>
        <w:rPr>
          <w:rFonts w:ascii="Calibri" w:hAnsi="Calibri"/>
          <w:b/>
          <w:color w:val="4A6B25"/>
          <w:sz w:val="15"/>
        </w:rPr>
        <w:t xml:space="preserve">4. </w:t>
      </w:r>
      <w:r>
        <w:rPr>
          <w:rFonts w:ascii="Calibri" w:hAnsi="Calibri"/>
          <w:b w:val="0"/>
          <w:color w:val="3A4A28"/>
          <w:sz w:val="17"/>
        </w:rPr>
        <w:t>Glassdoor — Cooper Companies Reviews (37 reviews), 3.4/5 rating,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Seeking Alpha / MarketBeat — Cooper Companies insider trading activity, September 2025 insider purchases</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COO (Cooper Companies),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