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COP</w:t>
      </w:r>
      <w:r>
        <w:rPr>
          <w:rFonts w:ascii="Calibri" w:hAnsi="Calibri"/>
          <w:b/>
          <w:color w:val="1A2010"/>
          <w:sz w:val="40"/>
        </w:rPr>
        <w:t xml:space="preserve">  ConocoPhillips</w:t>
      </w:r>
    </w:p>
    <w:p>
      <w:pPr>
        <w:spacing w:after="120"/>
      </w:pPr>
      <w:r>
        <w:rPr>
          <w:rFonts w:ascii="Calibri" w:hAnsi="Calibri"/>
          <w:b/>
          <w:color w:val="6E8450"/>
          <w:sz w:val="18"/>
        </w:rPr>
        <w:t>DIVIDEND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ConocoPhillips is the world's largest independent E&amp;P company by production and reserves, operating across Alaska, Lower 48, Canada, Europe/Middle East/North Africa, and Asia Pacific. The company completed its acquisition of Marathon Oil in late 2024, adding significant Permian Basin, Eagle Ford, and Bakken acreage.</w:t>
      </w:r>
    </w:p>
    <w:p>
      <w:r>
        <w:rPr>
          <w:rFonts w:ascii="Calibri" w:hAnsi="Calibri"/>
          <w:b/>
          <w:color w:val="6E8450"/>
          <w:sz w:val="18"/>
        </w:rPr>
        <w:t>9,900 Employees · https://www.conocophillips.com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ConocoPhillips leads operational innovation in low-cost E&amp;P through advanced drilling techniques, water recycling, and digital oilfield management across its Permian, Alaska, and Canadian operations [1]. The Marathon Oil acquisition integration is expanding operational efficiency through synergy capture and portfolio high-grading. However, as a pure-play E&amp;P company, COP does not invest in energy transition technologies like peers (e.g., Baker Hughes, Chevron), limiting innovation scope to extraction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Ryan Lance has led ConocoPhillips through disciplined capital allocation that returned $40B+ to shareholders since 2016, demonstrating shareholder-aligned leadership [1]. The company's 9,900-employee workforce manages world-class production volumes, reflecting exceptional per-employee productivity. However, ESG critics challenge the company's exclusive focus on fossil fuel production, and the Inspire negative attribution for LGBT activism creates faith alignment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 trades at 18.0x forward P/E with conservative D/E of 37.8%, strong profit margin of 13.3%, and 2.52% dividend yield supported by a 50% payout ratio [1]. However, revenue declined 6.8% YoY and earnings fell 39%, reflecting oil price cyclicality and the Marathon Oil integration dilution [2]. ROE of 12.4% is below the 15% threshold, and the forward P/E premium versus peers suggests the market prices in Marathon synergies that are yet to fully materialize. Free cash flow of $7.5B provides capital return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ConocoPhillips demonstrates moderate infinite game characteristics through its disciplined capital allocation framework, long-cycle resource development, and shareholder return commitment that has persisted through commodity cycles. However, the exclusive focus on fossil fuel extraction without meaningful energy transition investment suggests a shorter time horizon than peers who are hedging both scenarios.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COP's mission of providing 'affordable, reliable energy' resonates with basic human needs, but the exclusive fossil fuel focus limits the just cause in a world increasingly demanding cleaner energy solutions [1]. The absence of meaningful investments in renewables, CCUS, or hydrogen contrasts with peers like Chevron and BP.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ConocoPhillips maintains a lean 9,900-person workforce that produces world-class volumes, suggesting high trust and autonomy in operational teams [1]. The company's consistent capital allocation discipline and shareholder return commitment provide predictability for employees and investors alike.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COP competes with ExxonMobil, Chevron, and EOG Resources, using competition to sharpen cost leadership in the Permian Basin and Alaska [1]. The Marathon Oil acquisition demonstrates willingness to grow through disciplined M&amp;A rather than relying solely on organic development.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$17B Marathon Oil acquisition significantly expanded COP's Lower 48 resource base, demonstrating portfolio flexibility [1]. However, the company's strategic rigidity — pure-play E&amp;P without energy transition diversification — limits optionality if the energy transition accelerates beyond current projections.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Lance showed conviction in the Marathon Oil acquisition during a period of energy sector uncertainty, and the disciplined return framework (50%+ of CFO to shareholders) demonstrates commitment to capital allocation principles [1]. However, the lack of energy transition investment represents a calculated bet on sustained fossil fuel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ConocoPhillips offers blue-chip E&amp;P exposure at 18x forward earnings with a 2.52% dividend yield, 10 consecutive years of dividend growth, and $7.5B in annual free cash flow [1]. The Marathon Oil integration adds low-cost Permian and Eagle Ford acreage that should drive synergy-enhanced production growth and margin expansion over 2026-2027. The company's disciplined capital framework returns 50%+ of cash flow to shareholders through dividends and buybacks, providing downside protection in a volatile commodity environment [2]. Near its 52-week high of $133.55, the stock benefits from energy security themes and natural gas demand growth.</w:t>
      </w:r>
    </w:p>
    <w:p>
      <w:pPr>
        <w:spacing w:after="120"/>
      </w:pPr>
      <w:r>
        <w:rPr>
          <w:rFonts w:ascii="Calibri" w:hAnsi="Calibri"/>
          <w:b w:val="0"/>
          <w:color w:val="3A4A28"/>
          <w:sz w:val="20"/>
        </w:rPr>
        <w:t>The bear case is commodity price exposure — revenue declined 6.8% YoY and earnings fell 39% on lower oil prices, and a further decline below $60/barrel WTI would pressure the 50% shareholder return commitment [1]. The forward P/E of 18x represents a premium to E&amp;P peers, pricing in Marathon synergies that could take 12-24 months to fully materialize. COP's exclusive fossil fuel focus creates long-term stranded asset risk if energy transition accelerates, and the company's absence from renewables/CCUS leaves no hedge [2]. Geopolitical risk from OPEC+ production decisions, potential U.S. export restrictions, and regulatory pressure on drilling permits add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Marathon Oil synergy realization of $500M+ annually through portfolio high-grading, overhead reduction, and operational efficiency improvements [1]</w:t>
      </w:r>
    </w:p>
    <w:p>
      <w:pPr>
        <w:spacing w:before="40" w:after="40"/>
        <w:ind w:left="283"/>
      </w:pPr>
      <w:r>
        <w:rPr>
          <w:rFonts w:ascii="Calibri" w:hAnsi="Calibri"/>
          <w:b/>
          <w:color w:val="4A6B25"/>
          <w:sz w:val="20"/>
        </w:rPr>
        <w:t xml:space="preserve">2. </w:t>
      </w:r>
      <w:r>
        <w:rPr>
          <w:rFonts w:ascii="Calibri" w:hAnsi="Calibri"/>
          <w:b w:val="0"/>
          <w:color w:val="3A4A28"/>
          <w:sz w:val="20"/>
        </w:rPr>
        <w:t>Willow Project production ramp in Alaska adding 180,000 bopd at attractive economics, representing the largest new development on federal land in decades [1]</w:t>
      </w:r>
    </w:p>
    <w:p>
      <w:pPr>
        <w:spacing w:before="40" w:after="40"/>
        <w:ind w:left="283"/>
      </w:pPr>
      <w:r>
        <w:rPr>
          <w:rFonts w:ascii="Calibri" w:hAnsi="Calibri"/>
          <w:b/>
          <w:color w:val="4A6B25"/>
          <w:sz w:val="20"/>
        </w:rPr>
        <w:t xml:space="preserve">3. </w:t>
      </w:r>
      <w:r>
        <w:rPr>
          <w:rFonts w:ascii="Calibri" w:hAnsi="Calibri"/>
          <w:b w:val="0"/>
          <w:color w:val="3A4A28"/>
          <w:sz w:val="20"/>
        </w:rPr>
        <w:t>Share buyback acceleration using $7.5B annual FCF — management targets returning 50%+ of CFO to shareholders, potentially reducing share count 5%+ annually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below $60/barrel WTI would compress margins and likely force a reduction in the shareholder return commitment, triggering dividend investor selling [1]</w:t>
      </w:r>
    </w:p>
    <w:p>
      <w:pPr>
        <w:spacing w:before="40" w:after="40"/>
        <w:ind w:left="283"/>
      </w:pPr>
      <w:r>
        <w:rPr>
          <w:rFonts w:ascii="Calibri" w:hAnsi="Calibri"/>
          <w:b/>
          <w:color w:val="4A6B25"/>
          <w:sz w:val="20"/>
        </w:rPr>
        <w:t xml:space="preserve">2. </w:t>
      </w:r>
      <w:r>
        <w:rPr>
          <w:rFonts w:ascii="Calibri" w:hAnsi="Calibri"/>
          <w:b w:val="0"/>
          <w:color w:val="3A4A28"/>
          <w:sz w:val="20"/>
        </w:rPr>
        <w:t>Marathon Oil integration complexity — cultural differences, workforce rationalization, and asset overlap could delay expected synergies beyond 2027 [1]</w:t>
      </w:r>
    </w:p>
    <w:p>
      <w:pPr>
        <w:spacing w:before="40" w:after="40"/>
        <w:ind w:left="283"/>
      </w:pPr>
      <w:r>
        <w:rPr>
          <w:rFonts w:ascii="Calibri" w:hAnsi="Calibri"/>
          <w:b/>
          <w:color w:val="4A6B25"/>
          <w:sz w:val="20"/>
        </w:rPr>
        <w:t xml:space="preserve">3. </w:t>
      </w:r>
      <w:r>
        <w:rPr>
          <w:rFonts w:ascii="Calibri" w:hAnsi="Calibri"/>
          <w:b w:val="0"/>
          <w:color w:val="3A4A28"/>
          <w:sz w:val="20"/>
        </w:rPr>
        <w:t>Regulatory and permitting risk for Alaska (Willow) and Permian operations, including potential federal drilling restrictions and methane regulations that increase compliance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modest positive impact on ConocoPhillips through drilling optimization, seismic interpretation, and predictive maintenance that reduce per-barrel costs [1]. The company can leverage AI for reservoir modeling and production forecasting. However, AI also accelerates renewable energy development and grid optimization that could structurally reduce oil demand over the long term, creating a moderate threat to the core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ConocoPhillips Q4 and Full Year 2025 Earnings; Marathon Oil Integration Update</w:t>
      </w:r>
    </w:p>
    <w:p>
      <w:pPr>
        <w:spacing w:before="20" w:after="20"/>
        <w:ind w:left="170"/>
      </w:pPr>
      <w:r>
        <w:rPr>
          <w:rFonts w:ascii="Calibri" w:hAnsi="Calibri"/>
          <w:b/>
          <w:color w:val="4A6B25"/>
          <w:sz w:val="15"/>
        </w:rPr>
        <w:t xml:space="preserve">2. </w:t>
      </w:r>
      <w:r>
        <w:rPr>
          <w:rFonts w:ascii="Calibri" w:hAnsi="Calibri"/>
          <w:b w:val="0"/>
          <w:color w:val="3A4A28"/>
          <w:sz w:val="17"/>
        </w:rPr>
        <w:t>Yahoo Finance — COP key statistics and analyst estimates,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