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CORZ</w:t>
      </w:r>
      <w:r>
        <w:rPr>
          <w:rFonts w:ascii="Calibri" w:hAnsi="Calibri"/>
          <w:b/>
          <w:color w:val="1A2010"/>
          <w:sz w:val="40"/>
        </w:rPr>
        <w:t xml:space="preserve">  Core Scientific, Inc.</w:t>
      </w:r>
    </w:p>
    <w:p>
      <w:pPr>
        <w:spacing w:after="120"/>
      </w:pPr>
      <w:r>
        <w:rPr>
          <w:rFonts w:ascii="Calibri" w:hAnsi="Calibri"/>
          <w:b/>
          <w:color w:val="6E8450"/>
          <w:sz w:val="18"/>
        </w:rPr>
        <w:t>GROWTH SLEEVE · 2026-03-27 · Inspire: 46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Core Scientific is a digital infrastructure company transitioning from Bitcoin mining to AI/HPC data center hosting, operating approximately 1.3 GW of gross power capacity across multiple U.S. sites. The company has contracted 590 MW of HPC infrastructure with CoreWeave under 12-year agreements and is subject to a pending $9B all-stock acquisition by CoreWeave.</w:t>
      </w:r>
    </w:p>
    <w:p>
      <w:r>
        <w:rPr>
          <w:rFonts w:ascii="Calibri" w:hAnsi="Calibri"/>
          <w:b/>
          <w:color w:val="6E8450"/>
          <w:sz w:val="18"/>
        </w:rPr>
        <w:t>325 Employees · https://corescientific.com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Core Scientific's strategic pivot from Bitcoin mining to AI/HPC data center infrastructure represents a genuinely innovative business model transformation, leveraging existing power infrastructure and data center expertise for higher-margin AI workloads [1]. The company broke ground on five AI factories delivering 590 MW to CoreWeave, energized approximately 350 MW, and supports over 65,000 customer GPUs [2]. The expansion into Hunt County, Texas (285 MW additional capacity) and Denton site expansion demonstrate continued infrastructure innovation. The $10B+ contracted revenue with CoreWeave validates the technical capability.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Adam Sullivan has effectively communicated the AI pivot vision, declaring bitcoin mining 'essentially in runoff' and committing to 100% colocation by 2028 [1]. The company emerged from bankruptcy in January 2024 with a clear strategic direction, showing resilience. However, the 2022 bankruptcy filing, aggressive Bitcoin sales ($175M in January 2026), and the pending CoreWeave acquisition create uncertainty about the company's independent identity and mission. With 325 employees, the organization is lean but faces significant scale-up challenges.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Core Scientific's current financial metrics are severely impaired by the business model transition: revenue declined 16% YoY to $319M as mining revenue collapsed 75% following the Bitcoin halving, profit margin is -90.5%, and the 3-year revenue CAGR is -21% [1]. The forward P/E of 37.6x assumes successful colocation revenue ramp that has not yet materialized in financial statements. The company is funding operations through Bitcoin liquidation (selling substantially all BTC holdings in 2026) and capital markets. However, the $10B+ contracted revenue backlog with CoreWeave provides long-term visibility if the acquisition or partnership continues.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Core Scientific demonstrates mixed infinite-game orientation: the strategic pivot from Bitcoin mining to AI infrastructure shows existential flexibility, but the company's history (bankruptcy in 2022, pending acquisition by CoreWeave) suggests a pattern of finite-game decision-making driven by survival necessity rather than long-term vision. The pending $9B CoreWeave acquisition would effectively end Core Scientific as an independent entity.</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Core Scientific's pivot to 'enabling the future of AI' through critical digital infrastructure is a legitimate purpose, but the rapid succession from crypto mining to AI hosting suggests the company follows capital flows rather than a deeply held cause [1]. The 2022 bankruptcy and subsequent reinvention demonstrate pragmatic survival skills rather than mission-driven leadership.</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325-person workforce has weathered bankruptcy, strategic pivot, and a pending acquisition within three years, requiring extraordinary adaptability. CEO Sullivan has maintained operational continuity through these transitions, but the uncertainty of the CoreWeave acquisition outcome creates ongoing team instability [2].</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Core Scientific competes with Equinix, Digital Realty, and other Bitcoin miners pivoting to AI (Marathon, Riot) for HPC hosting contracts. The exclusive CoreWeave relationship provides differentiation but also creates dependency, and the company has shown limited evidence of studying rivals' strategies beyond following the AI pivot trend.</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Core Scientific demonstrated remarkable existential flexibility: emerging from bankruptcy, pivoting from Bitcoin mining to AI infrastructure, and negotiating a $9B acquisition offer — all within 24 months [1][2]. The willingness to liquidate all Bitcoin holdings and commit to 100% colocation by 2028 shows decisive strategic vision, even if driven by necessity.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rejection of CoreWeave's initial $9B acquisition bid showed courage, with management believing the company was worth more as an independent entity. However, the subsequent revival of the acquisition deal suggests the company ultimately lacked the conviction to execute independently, and the pattern of following industry trends (crypto to AI) rather than leading them limits the courage assessment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Core Scientific sits at the nexus of the AI infrastructure supercycle with $10B+ in contracted CoreWeave revenue across 590 MW of HPC capacity under 12-year agreements, providing exceptional long-term visibility [1]. The pending $9B CoreWeave acquisition at 0.1235 shares per CORZ share implies significant upside from the current $5B market cap, and the 1.3 GW power footprint is an irreplaceable physical asset in an AI-constrained environment. The company achieved 100% net carbon-neutrality in 2021, and its Texas data center expansions position it in a favorable regulatory and power cost environment. If the acquisition closes, CORZ shareholders gain exposure to CoreWeave's broader AI cloud platform serving Microsoft, NVIDIA, and OpenAI [2].</w:t>
      </w:r>
    </w:p>
    <w:p>
      <w:pPr>
        <w:spacing w:after="120"/>
      </w:pPr>
      <w:r>
        <w:rPr>
          <w:rFonts w:ascii="Calibri" w:hAnsi="Calibri"/>
          <w:b w:val="0"/>
          <w:color w:val="3A4A28"/>
          <w:sz w:val="20"/>
        </w:rPr>
        <w:t>The bear case centers on severe financial deterioration and customer concentration: revenue declined 16% YoY with a -90.5% profit margin, the company is liquidating all Bitcoin holdings to fund operations, and 85%+ of near-term revenue depends on the volatile Bitcoin mining business [1]. The CoreWeave acquisition adds risk — if the deal collapses again (as it briefly did in October 2025), CORZ must execute the AI pivot independently with limited financial resources. CoreWeave itself faces questions about circular AI deal structures and financial stability, and any CoreWeave distress would cascade to Core Scientific's contracted revenue. The forward P/E of 37.6x assumes successful transition execution that is far from guaranteed, and the company's bankruptcy history reduces management credibility for long-term capital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CoreWeave acquisition closing, providing CORZ shareholders with exposure to a $9B+ AI infrastructure platform serving major hyperscalers [2]</w:t>
      </w:r>
    </w:p>
    <w:p>
      <w:pPr>
        <w:spacing w:before="40" w:after="40"/>
        <w:ind w:left="283"/>
      </w:pPr>
      <w:r>
        <w:rPr>
          <w:rFonts w:ascii="Calibri" w:hAnsi="Calibri"/>
          <w:b/>
          <w:color w:val="4A6B25"/>
          <w:sz w:val="20"/>
        </w:rPr>
        <w:t xml:space="preserve">2. </w:t>
      </w:r>
      <w:r>
        <w:rPr>
          <w:rFonts w:ascii="Calibri" w:hAnsi="Calibri"/>
          <w:b w:val="0"/>
          <w:color w:val="3A4A28"/>
          <w:sz w:val="20"/>
        </w:rPr>
        <w:t>590 MW of CoreWeave HPC capacity reaching full operational status in H2 2026, transforming the revenue mix from declining mining to high-margin, contracted colocation</w:t>
      </w:r>
    </w:p>
    <w:p>
      <w:pPr>
        <w:spacing w:before="40" w:after="40"/>
        <w:ind w:left="283"/>
      </w:pPr>
      <w:r>
        <w:rPr>
          <w:rFonts w:ascii="Calibri" w:hAnsi="Calibri"/>
          <w:b/>
          <w:color w:val="4A6B25"/>
          <w:sz w:val="20"/>
        </w:rPr>
        <w:t xml:space="preserve">3. </w:t>
      </w:r>
      <w:r>
        <w:rPr>
          <w:rFonts w:ascii="Calibri" w:hAnsi="Calibri"/>
          <w:b w:val="0"/>
          <w:color w:val="3A4A28"/>
          <w:sz w:val="20"/>
        </w:rPr>
        <w:t>Additional HPC hosting deals beyond CoreWeave — analyst Trip Miller predicts 400 MW of new deals in 2026, diversifying customer concentration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CoreWeave acquisition failure — if the deal collapses again, CORZ must execute the AI pivot independently while bleeding cash from declining mining operations</w:t>
      </w:r>
    </w:p>
    <w:p>
      <w:pPr>
        <w:spacing w:before="40" w:after="40"/>
        <w:ind w:left="283"/>
      </w:pPr>
      <w:r>
        <w:rPr>
          <w:rFonts w:ascii="Calibri" w:hAnsi="Calibri"/>
          <w:b/>
          <w:color w:val="4A6B25"/>
          <w:sz w:val="20"/>
        </w:rPr>
        <w:t xml:space="preserve">2. </w:t>
      </w:r>
      <w:r>
        <w:rPr>
          <w:rFonts w:ascii="Calibri" w:hAnsi="Calibri"/>
          <w:b w:val="0"/>
          <w:color w:val="3A4A28"/>
          <w:sz w:val="20"/>
        </w:rPr>
        <w:t>Single-customer concentration — 590 MW of contracted capacity with CoreWeave creates existential dependency on one customer's financial health and growth trajectory [1]</w:t>
      </w:r>
    </w:p>
    <w:p>
      <w:pPr>
        <w:spacing w:before="40" w:after="40"/>
        <w:ind w:left="283"/>
      </w:pPr>
      <w:r>
        <w:rPr>
          <w:rFonts w:ascii="Calibri" w:hAnsi="Calibri"/>
          <w:b/>
          <w:color w:val="4A6B25"/>
          <w:sz w:val="20"/>
        </w:rPr>
        <w:t xml:space="preserve">3. </w:t>
      </w:r>
      <w:r>
        <w:rPr>
          <w:rFonts w:ascii="Calibri" w:hAnsi="Calibri"/>
          <w:b w:val="0"/>
          <w:color w:val="3A4A28"/>
          <w:sz w:val="20"/>
        </w:rPr>
        <w:t>Financial fragility — the -90.5% profit margin, Bitcoin liquidation for operating cash, and null D/E and ROE metrics reflect a company in transition with no margin of safety if the pivot stalls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Core Scientific is directly positioned as an AI infrastructure enabler — the company's entire strategic pivot is toward hosting AI/HPC workloads for CoreWeave, which in turn serves NVIDIA, Microsoft, OpenAI, and Meta [2]. The 1.3 GW data center footprint and 590 MW of contracted CoreWeave capacity make CORZ a critical physical layer in the AI value chain. Unlike software companies that face AI disruption risk, Core Scientific's physical infrastructure assets (power, cooling, land) are essential and irreplaceable components of AI scaling. The primary risk is concentration on a single customer (CoreWeave) rather than AI disruption itself.</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WebProNews — 'Core Scientific Pivots from Bitcoin Mining to AI Hosting, Eyes Billions in Revenue'; CoinDesk — 'Core Scientific sells $175 million in Bitcoin', March 2026</w:t>
      </w:r>
    </w:p>
    <w:p>
      <w:pPr>
        <w:spacing w:before="20" w:after="20"/>
        <w:ind w:left="170"/>
      </w:pPr>
      <w:r>
        <w:rPr>
          <w:rFonts w:ascii="Calibri" w:hAnsi="Calibri"/>
          <w:b/>
          <w:color w:val="4A6B25"/>
          <w:sz w:val="15"/>
        </w:rPr>
        <w:t xml:space="preserve">2. </w:t>
      </w:r>
      <w:r>
        <w:rPr>
          <w:rFonts w:ascii="Calibri" w:hAnsi="Calibri"/>
          <w:b w:val="0"/>
          <w:color w:val="3A4A28"/>
          <w:sz w:val="17"/>
        </w:rPr>
        <w:t>CoreWeave — 'CoreWeave to Acquire Core Scientific', July 2025; Fortune — 'CoreWeave's $9B acquisition provides AI road map for Bitcoin miners'</w:t>
      </w:r>
    </w:p>
    <w:p>
      <w:pPr>
        <w:spacing w:before="20" w:after="20"/>
        <w:ind w:left="170"/>
      </w:pPr>
      <w:r>
        <w:rPr>
          <w:rFonts w:ascii="Calibri" w:hAnsi="Calibri"/>
          <w:b/>
          <w:color w:val="4A6B25"/>
          <w:sz w:val="15"/>
        </w:rPr>
        <w:t xml:space="preserve">3. </w:t>
      </w:r>
      <w:r>
        <w:rPr>
          <w:rFonts w:ascii="Calibri" w:hAnsi="Calibri"/>
          <w:b w:val="0"/>
          <w:color w:val="3A4A28"/>
          <w:sz w:val="17"/>
        </w:rPr>
        <w:t>Core Scientific Q4 FY2025 Results Press Release,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CORZ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