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w:t>
      </w:r>
      <w:r>
        <w:rPr>
          <w:rFonts w:ascii="Calibri" w:hAnsi="Calibri"/>
          <w:b/>
          <w:color w:val="1A2010"/>
          <w:sz w:val="40"/>
        </w:rPr>
        <w:t xml:space="preserve">  Cencora, Inc.</w:t>
      </w:r>
    </w:p>
    <w:p>
      <w:pPr>
        <w:spacing w:after="120"/>
      </w:pPr>
      <w:r>
        <w:rPr>
          <w:rFonts w:ascii="Calibri" w:hAnsi="Calibri"/>
          <w:b/>
          <w:color w:val="6E8450"/>
          <w:sz w:val="18"/>
        </w:rPr>
        <w:t>GROWTH SLEEVE · 2026-04-30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Cencora (formerly AmerisourceBergen) sources and distributes pharmaceutical products in the United States and internationally through two segments: U.S. Healthcare Solutions and International Healthcare Solutions. Founded in 1871, the company distributes generics, specialty pharmaceuticals, biologics, and animal health products, and recently acquired OneOncology to expand into oncology practice management.</w:t>
      </w:r>
    </w:p>
    <w:p>
      <w:r>
        <w:rPr>
          <w:rFonts w:ascii="Calibri" w:hAnsi="Calibri"/>
          <w:b/>
          <w:color w:val="6E8450"/>
          <w:sz w:val="18"/>
        </w:rPr>
        <w:t>47,000 Employees · https://www.cencora.com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Cencora's rebrand from AmerisourceBergen in August 2023 was cosmetic, but the strategic acquisition of OneOncology represents a genuine expansion into oncology practice management beyond pure distribution — however, this is incremental rather than transformative [1]. AI Deployment (1/2): The company deployed an AI voice agent for insurance verification that sped up call handling 4x and uses machine learning for demand forecasting, inventory accuracy, and predictive analytics for medication non-adherence — practical internal AI with measurable results but not revenue-generating AI products [2]. Market Share (1/2): Cencora is one of the 'Big Three' U.S. pharmaceutical distributors alongside McKesson and Cardinal Health, collectively controlling ~95% of drug distribution. Position is stable but not gaining share in a consolidated market [1]. Pipeline (1/2): OneOncology acquisition adds a specialty distribution and practice management platform with revenue visibility, and the expansion of the Chief Data and Information Officer role signals digital transformation investment [2]. R&amp;D Intensity (1/1): Above-average technology investment for a distribution company, with dedicated CDIO role and AI deployment across supply chain operations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Cencora's purpose of 'creating healthier futures' and improving the health of people and animals is clear and connects pharmaceutical distribution to patient outcomes, but is not distinctive from peer distributors [3]. The 155-year operating history provides some mission validation. Community Impact (1/2): The company addresses opioid accountability through its Controlled Substance Monitoring Program as part of the nationwide settlement, and publishes corporate responsibility reports, but specific charitable program dollar amounts were not identified [3]. Employee Retention (1/2): Leadership continuity was strong under Steven Collis (30-year career, tripled revenue to $290B), and the transition to CEO Bob Mauch was orderly — but no specific employee retention data or exceptional Glassdoor ratings were found [2]. Insider Buying (1/2): The company halted share repurchases to fund the OneOncology acquisition; no evidence of meaningful net insider buying by executives in recent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Cencora's infrastructure profile is strong on growth, valuation, and capital efficiency metrics but weighed down by leverage and razor-thin margins inherent to pharmaceutical distribution [1]. Revenue of $325.8B TTM with 5.5% YoY growth (scoring 0.85) and 3-year CAGR of 10.4% (scoring 1.0) demonstrate consistent top-line expansion [4]. Forward P/E of 15.9x (scoring 1.0) and PEG of 0.74 (scoring 1.0) indicate attractive valuation. ROE of 133.5% (scoring 1.0) is extraordinary but reflects low equity from aggressive buybacks rather than operational efficiency. D/E of 472.6% (scoring 0) reflects the capital-light distribution model where most 'debt' supports the massive working capital needs of a $326B revenue business. Profit margin of 0.5% (scoring 0.025) is structurally low for distributors but generates $4.3B operating cash flow. Growth stock weighted sum: 7.88/10 = 7.9, rounded to 8. Liquidity easily cleared at $433M daily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Cencora's 155-year operating history since 1871 demonstrates remarkable institutional endurance through multiple industry transformations. The orderly CEO transition from Collis to Mauch and strategic expansion into oncology practice management signal long-term thinking. However, the company's role as a pharmaceutical middleman and the opioid settlement legacy create ongoing purpose questions.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Cencora's 155-year history of pharmaceutical distribution — evolving from a local drug wholesaler to a $326B global healthcare platform — provides genuine longevity validation [1]. The purpose of connecting pharmaceutical manufacturers to patients through reliable distribution is essential but not inspiring in the Sinek sense. The opioid crisis revealed that distribution efficiency without sufficient oversight can cause harm, complicating the Just Cause narrative. Scores 2/3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smooth CEO transition from Steven Collis (30-year tenure, tripled revenue) to Bob Mauch demonstrates leadership continuity and institutional stability [2]. The expansion of the leadership team with a dedicated CDIO and other senior roles suggests organizational investment. However, no specific employee trust data, retention metrics, or cultural excellence indicators were found. Scores 1/2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Cencora operates in a mature oligopoly with McKesson and Cardinal Health where competitive dynamics are more cooperative than adversarial — all three settled opioid litigation collectively and share regulatory compliance frameworks [3]. The expansion into oncology through OneOncology represents learning from specialty pharmacy competitors rather than fighting them. Scores 1/1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Cencora has evolved incrementally over 155 years — from local drug wholesaler to national distributor to global pharmaceutical services platform. The OneOncology acquisition represents expansion into practice management beyond pure distribution [1]. The rebrand from AmerisourceBergen to Cencora signals strategic repositioning. However, the core business model of pharmaceutical wholesaling has remained fundamentally unchanged. Scores 1/2 on the weighted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opioid settlement — while necessary — revealed a historical failure of courageous leadership in monitoring controlled substance distribution [3]. Current leadership under Mauch is executing the established playbook of acquisitions and operational efficiency without evidence of costly long-term bets. Halting share repurchases for OneOncology is standard capital allocation, not courageous. Scores 0/2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Cencora is a $60B pharmaceutical distribution leader trading at 15.9x forward P/E with a PEG of 0.74, reflecting undervaluation relative to its defensive growth profile [4]. Q1 FY2026 revenue of $85.9B (up 5.5% YoY) with adjusted diluted EPS of $4.08 (up 9.4%) demonstrates steady execution, and management raised FY2026 adjusted operating income guidance to 11.5-13.5% growth following the OneOncology acquisition [1]. The 'Big Three' pharmaceutical distribution oligopoly provides structural competitive advantages through scale, regulatory barriers, and entrenched customer relationships. Free cash flow of $3.5B and operating cash flow of $4.3B provide substantial capital return capacity despite the dividend yield of only 0.77% [4]. FY2026 revenue guidance of 7-9% growth on a $326B base represents massive dollar-value expansion.</w:t>
      </w:r>
    </w:p>
    <w:p>
      <w:pPr>
        <w:spacing w:after="120"/>
      </w:pPr>
      <w:r>
        <w:rPr>
          <w:rFonts w:ascii="Calibri" w:hAnsi="Calibri"/>
          <w:b w:val="0"/>
          <w:color w:val="3A4A28"/>
          <w:sz w:val="20"/>
        </w:rPr>
        <w:t>The bear case centers on margin vulnerability, leverage, and legacy liabilities. Profit margin of 0.5% is structurally thin — pharmaceutical distribution is a low-margin, high-volume business where any disruption to the wholesaler model (manufacturer direct-to-pharmacy, Amazon Pharmacy expansion) could be devastating [4]. D/E of 473% reflects the capital structure burden of a $326B revenue business, and the OneOncology acquisition further increased leverage while halting share repurchases. The trailing P/E of 37.4x vs. forward P/E of 15.9x suggests significant earnings seasonality or one-time items that complicate valuation. The opioid settlement created ongoing compliance costs and reputational damage, and any new opioid-related litigation could resurface financial and brand risk [3]. The company's Inspire Impact Score of -75 (MISALIGNED) reflects controversial product distribution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OneOncology acquisition integration driving adjusted operating income growth of 11.5-13.5% in FY2026, expanding Cencora beyond pure distribution into oncology practice management [1]</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raised to 7-9% growth on a $326B base, driven by specialty pharmaceutical volume increases and biosimilar adoption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efficiencies including 4x faster insurance verification, ML demand forecasting, and predictive adherence analytics improving service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Pharmaceutical distribution disintermediation risk — Amazon Pharmacy, manufacturer direct-to-pharmacy programs, and Mark Cuban's Cost Plus Drugs threaten the wholesaler model's 0.5% margin [4]</w:t>
      </w:r>
    </w:p>
    <w:p>
      <w:pPr>
        <w:spacing w:before="40" w:after="40"/>
        <w:ind w:left="283"/>
      </w:pPr>
      <w:r>
        <w:rPr>
          <w:rFonts w:ascii="Calibri" w:hAnsi="Calibri"/>
          <w:b/>
          <w:color w:val="4A6B25"/>
          <w:sz w:val="20"/>
        </w:rPr>
        <w:t xml:space="preserve">2. </w:t>
      </w:r>
      <w:r>
        <w:rPr>
          <w:rFonts w:ascii="Calibri" w:hAnsi="Calibri"/>
          <w:b w:val="0"/>
          <w:color w:val="3A4A28"/>
          <w:sz w:val="20"/>
        </w:rPr>
        <w:t>Opioid settlement compliance costs and potential new litigation waves as enforcement of the Controlled Substance Monitoring Program creates ongoing operational burden [3]</w:t>
      </w:r>
    </w:p>
    <w:p>
      <w:pPr>
        <w:spacing w:before="40" w:after="40"/>
        <w:ind w:left="283"/>
      </w:pPr>
      <w:r>
        <w:rPr>
          <w:rFonts w:ascii="Calibri" w:hAnsi="Calibri"/>
          <w:b/>
          <w:color w:val="4A6B25"/>
          <w:sz w:val="20"/>
        </w:rPr>
        <w:t xml:space="preserve">3. </w:t>
      </w:r>
      <w:r>
        <w:rPr>
          <w:rFonts w:ascii="Calibri" w:hAnsi="Calibri"/>
          <w:b w:val="0"/>
          <w:color w:val="3A4A28"/>
          <w:sz w:val="20"/>
        </w:rPr>
        <w:t>D/E of 473% with OneOncology acquisition leverage — any credit market tightening could increase financing costs on the massive working capital needs of a $326B revenue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Pharmaceutical distribution requires massive physical infrastructure — temperature-controlled warehouses, regulatory-compliant logistics, DEA-licensed facilities, and complex supply chains that AI cannot replicate [2]. The 'Big Three' oligopoly structure and regulatory barriers create deep moats. However, AI could enable manufacturers to optimize direct-to-pharmacy distribution, potentially disintermediating wholesalers on some product categories. AI-driven inventory management and demand forecasting also increase price transparency, which could compress already-thin margins. The core distribution business is protected but not immune. AI Opportunity (1/1): Cencora generates value from AI through its insurance verification voice agent (4x faster call handling), machine learning demand forecasting, and predictive analytics for medication adherence — these create measurable operational savings and service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Cencora Q1 FY2026 Earnings Release — $85.9B revenue, 5.5% growth, $4.08 adjusted EPS, FY2026 guidance raised, February 2026</w:t>
      </w:r>
    </w:p>
    <w:p>
      <w:pPr>
        <w:spacing w:before="20" w:after="20"/>
        <w:ind w:left="170"/>
      </w:pPr>
      <w:r>
        <w:rPr>
          <w:rFonts w:ascii="Calibri" w:hAnsi="Calibri"/>
          <w:b/>
          <w:color w:val="4A6B25"/>
          <w:sz w:val="15"/>
        </w:rPr>
        <w:t xml:space="preserve">2. </w:t>
      </w:r>
      <w:r>
        <w:rPr>
          <w:rFonts w:ascii="Calibri" w:hAnsi="Calibri"/>
          <w:b w:val="0"/>
          <w:color w:val="3A4A28"/>
          <w:sz w:val="17"/>
        </w:rPr>
        <w:t>Cencora AI Innovation, Leadership Team Expansion, and Digital Transformation Initiatives —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Cencora Corporate Responsibility and Opioid Settlement Disclosure — ESG reporting and CSMP program,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COR (Cencora),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