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COTY</w:t>
      </w:r>
      <w:r>
        <w:rPr>
          <w:rFonts w:ascii="Calibri" w:hAnsi="Calibri"/>
          <w:b/>
          <w:color w:val="1A2010"/>
          <w:sz w:val="40"/>
        </w:rPr>
        <w:t xml:space="preserve">  Coty Inc.</w:t>
      </w:r>
    </w:p>
    <w:p>
      <w:pPr>
        <w:spacing w:after="120"/>
      </w:pPr>
      <w:r>
        <w:rPr>
          <w:rFonts w:ascii="Calibri" w:hAnsi="Calibri"/>
          <w:b/>
          <w:color w:val="6E8450"/>
          <w:sz w:val="18"/>
        </w:rPr>
        <w:t>GROWTH SLEEVE · 2026-03-28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Household &amp; Personal Products · NYSE · United States</w:t>
      </w:r>
    </w:p>
    <w:p>
      <w:pPr>
        <w:spacing w:after="80"/>
      </w:pPr>
      <w:r>
        <w:rPr>
          <w:rFonts w:ascii="Calibri" w:hAnsi="Calibri"/>
          <w:b w:val="0"/>
          <w:color w:val="3A4A28"/>
          <w:sz w:val="20"/>
        </w:rPr>
        <w:t>Coty is a global beauty company operating through Prestige (68% of revenue) and Consumer Beauty segments. The Prestige portfolio includes fragrances under licensed brands such as Burberry, Calvin Klein, Hugo Boss, Marc Jacobs, and Gucci, plus owned brands like philosophy and Lancaster. Consumer Beauty includes CoverGirl, Rimmel, Sally Hansen, and Max Factor. Coty is a subsidiary of JAB Beauty B.V.</w:t>
      </w:r>
    </w:p>
    <w:p>
      <w:r>
        <w:rPr>
          <w:rFonts w:ascii="Calibri" w:hAnsi="Calibri"/>
          <w:b/>
          <w:color w:val="6E8450"/>
          <w:sz w:val="18"/>
        </w:rPr>
        <w:t>11,636 Employees · https://www.coty.com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Coty's primary strategic move was the 2020 sale of a majority stake in Wella to KKR and the subsequent pivot toward Prestige beauty, but execution has disappointed — FY2025 revenue declined 8% in Q4 and like-for-like sales have been negative for several quarters [1]. The recent CEO departure and withdrawn guidance signal a failed growth strategy. AI Deployment (1/2): Coty has formalized an AI strategy through a collaboration with OpenAI, deploying ChatGPT Enterprise across the organization and implementing AI-driven demand planning, though no consumer-facing AI products have shipped [2]. Market Share (1/2): Coty holds meaningful positions in prestige fragrances (Burberry, Calvin Klein, Hugo Boss) and mass cosmetics (CoverGirl, Rimmel), but market share has been eroding in Consumer Beauty with a 6% like-for-like decline in Q2 FY2026 [1]. Pipeline (1/2): The turnaround strategy under interim CEO Strobel focuses on streamlining FY27 innovation pipelines for higher productivity and refining colour cosmetics brand positioning, but these are restructuring actions rather than specific new product launches [2]. R&amp;D Intensity (0/1): R&amp;D spending as a percentage of revenue is below industry average for beauty/personal care, with investment skewed toward marketing and brand licensing.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Coty's stated purpose centers on celebrating beauty and empowering self-expression, which is generic and interchangeable with any beauty company — it does not articulate a distinctive vision or deeper purpose beyond the obvious [2]. Community Impact (1/2): Coty has achieved gender balance in leadership, earned a perfect HRC Corporate Equality Index score, and operates factories on 100% renewable electricity with eight carbon-neutral sites [3]. Employee Retention (0/2): The abrupt departure of CEO Sue Nabi in December 2025, major executive reshuffling, and ongoing restructuring suggest organizational instability rather than high-trust retention [2]. No public data on turnover rates or employee tenure was found. Insider Buying (1/2): Majority owner JAB Beauty B.V. maintains significant equity exposure, but no evidence of net insider buying by individual executives was found during a period when the stock has lost over 70% of its value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Coty's financial profile reflects a struggling business in turnaround mode. H1 FY2026 revenue of $3.26B declined 3% YoY, with Consumer Beauty down 5% and Prestige down 1% [1]. Profit margin is negative at -9.1% with ROE of -12.6%, reflecting GAAP losses driven by Wella divestiture impacts and margin compression [4]. D/E of 82.7% is manageable, and the company reduced financial leverage from 3.7x to 2.7x through the $750M Wella stake sale [1]. Forward P/E of 5.3x is extremely low, reflecting either deep value or value trap risk. Revenue growth of 0.5% YoY is anemic, and FY2026 guidance has been withdrawn entirely [1]. Free cash flow of $524M in H1 FY2026 is a bright spot, exceeding prior year. Liquidity floor cleared: 8.2M avg vol x $2.00 = $16.4M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Coty under its current interim leadership is playing a finite game — the company has cycled through CEOs, withdrawn financial guidance, faced securities fraud lawsuits, and is restructuring rather than building for the long term. The loss of the Gucci beauty license in 2028 and the abrupt departure of CEO Nabi reveal a company optimizing quarter-to-quarter rather than investing in enduring competitive advantages.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Coty does not have a Just Cause by Sinek's definition. The company's purpose — celebrating beauty — is generic marketing language that has not prevented strategic incoherence: acquiring Procter &amp; Gamble's beauty brands, selling Wella, losing the Gucci license, cycling through CEOs, and withdrawing guidance [2]. There is no enduring vision that has survived leadership transitions or guided strategic decisions through difficulty.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abrupt departure of CEO Sue Nabi in December 2025, major executive reshuffling, and securities fraud lawsuits alleging misleading investor communications create a low-trust environment [2]. The withdrawn FY2026 guidance and interim CEO's candid admission of 'disappointing' performance suggest internal instability. Restructuring programs and workforce changes further erode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Coty's competitive language and actions suggest a finite competitive mindset — acquiring brands to gain market share (P&amp;G beauty brands), licensing celebrity names (Kylie Cosmetics), and competing on promotional spend rather than product superiority in Consumer Beauty [1]. The company has not articulated what it learns from competitors like Estee Lauder or L'Oreal.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Coty has evolved its portfolio significantly — selling the majority stake in Wella to focus on Prestige, divesting the remaining 25.8% Wella stake for $750M, and shifting from mass-market toward premium beauty [1]. These represent meaningful strategic pivots, though they appear driven by financial pressure rather than purpose-driven transformation. The OpenAI collaboration shows willingness to adopt new capabilities.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Coty's recent leadership decisions reflect reactive crisis management rather than courageous long-term thinking [2]. Withdrawing FY2026 guidance, firing the CEO without explanation, increasing promotional spending to chase volume at the expense of margins, and facing securities fraud lawsuits for allegedly misleading investors are the hallmarks of short-term optimization. Interim CEO Strobel's turnaround plan focuses on cost-cutting and portfolio rationalization rather than building new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Coty trades at a deep value multiple of 5.3x forward earnings, reflecting severe pessimism after CEO departure, withdrawn guidance, and 70%+ stock decline [4]. The Prestige fragrance portfolio (Burberry, Calvin Klein, Hugo Boss, Marc Jacobs) generates 68% of revenue with stronger margins than Consumer Beauty, and the $750M Wella divestiture reduced leverage from 3.7x to 2.7x net debt/EBITDA [1]. H1 FY2026 free cash flow of $524M exceeds prior year, demonstrating underlying cash generation capacity despite revenue headwinds. Interim CEO Strobel's turnaround plan targeting procurement savings, innovation pipeline streamlining, and Consumer Beauty brand repositioning could unlock value if executed — the stock prices in no recovery.</w:t>
      </w:r>
    </w:p>
    <w:p>
      <w:pPr>
        <w:spacing w:after="120"/>
      </w:pPr>
      <w:r>
        <w:rPr>
          <w:rFonts w:ascii="Calibri" w:hAnsi="Calibri"/>
          <w:b w:val="0"/>
          <w:color w:val="3A4A28"/>
          <w:sz w:val="20"/>
        </w:rPr>
        <w:t>The bear case is substantial and multi-layered. Coty faces securities fraud class action lawsuits from multiple law firms alleging misleading disclosures about growth prospects while the business deteriorated, with a May 2026 lead plaintiff deadline [3]. Consumer Beauty revenue declined 6% like-for-like in Q2 FY2026, and the mass-market segment faces structural competitive pressure from indie beauty brands and private label [1]. The loss of the Gucci beauty license in 2028 removes a significant prestige revenue stream that will be difficult to replace. GAAP net loss of $126.9M in Q2 FY2026 (vs. $20.4M profit a year earlier) and negative ROE of -12.6% demonstrate the depth of financial deterioration [1]. The interim CEO structure creates leadership uncertainty — permanent CEO search adds another variable. JAB Beauty's majority ownership limits governance independence and may not align with minority shareholder interests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Turnaround execution under interim CEO Strobel — procurement savings, innovation pipeline streamlining, and Consumer Beauty brand repositioning targeting return to growth in H2 FY2026 [2]</w:t>
      </w:r>
    </w:p>
    <w:p>
      <w:pPr>
        <w:spacing w:before="40" w:after="40"/>
        <w:ind w:left="283"/>
      </w:pPr>
      <w:r>
        <w:rPr>
          <w:rFonts w:ascii="Calibri" w:hAnsi="Calibri"/>
          <w:b/>
          <w:color w:val="4A6B25"/>
          <w:sz w:val="20"/>
        </w:rPr>
        <w:t xml:space="preserve">2. </w:t>
      </w:r>
      <w:r>
        <w:rPr>
          <w:rFonts w:ascii="Calibri" w:hAnsi="Calibri"/>
          <w:b w:val="0"/>
          <w:color w:val="3A4A28"/>
          <w:sz w:val="20"/>
        </w:rPr>
        <w:t>Deleveraging progress — net debt reduction from 3.7x to 2.7x following Wella divestiture, with strong H1 free cash flow of $524M supporting further balance sheet improvement [1]</w:t>
      </w:r>
    </w:p>
    <w:p>
      <w:pPr>
        <w:spacing w:before="40" w:after="40"/>
        <w:ind w:left="283"/>
      </w:pPr>
      <w:r>
        <w:rPr>
          <w:rFonts w:ascii="Calibri" w:hAnsi="Calibri"/>
          <w:b/>
          <w:color w:val="4A6B25"/>
          <w:sz w:val="20"/>
        </w:rPr>
        <w:t xml:space="preserve">3. </w:t>
      </w:r>
      <w:r>
        <w:rPr>
          <w:rFonts w:ascii="Calibri" w:hAnsi="Calibri"/>
          <w:b w:val="0"/>
          <w:color w:val="3A4A28"/>
          <w:sz w:val="20"/>
        </w:rPr>
        <w:t>OpenAI enterprise partnership driving operational efficiency across demand planning, marketing, and innovation, potentially improving margins through AI-powered cost reduction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fraud class action lawsuits alleging misleading investor disclosures — multiple law firms have filed with a May 2026 lead plaintiff deadline, creating material legal liability [3]</w:t>
      </w:r>
    </w:p>
    <w:p>
      <w:pPr>
        <w:spacing w:before="40" w:after="40"/>
        <w:ind w:left="283"/>
      </w:pPr>
      <w:r>
        <w:rPr>
          <w:rFonts w:ascii="Calibri" w:hAnsi="Calibri"/>
          <w:b/>
          <w:color w:val="4A6B25"/>
          <w:sz w:val="20"/>
        </w:rPr>
        <w:t xml:space="preserve">2. </w:t>
      </w:r>
      <w:r>
        <w:rPr>
          <w:rFonts w:ascii="Calibri" w:hAnsi="Calibri"/>
          <w:b w:val="0"/>
          <w:color w:val="3A4A28"/>
          <w:sz w:val="20"/>
        </w:rPr>
        <w:t>Consumer Beauty structural decline — 6% like-for-like revenue decline in Q2 FY2026 amid rising competition from indie brands and private label, with no clear path to stabilization [1]</w:t>
      </w:r>
    </w:p>
    <w:p>
      <w:pPr>
        <w:spacing w:before="40" w:after="40"/>
        <w:ind w:left="283"/>
      </w:pPr>
      <w:r>
        <w:rPr>
          <w:rFonts w:ascii="Calibri" w:hAnsi="Calibri"/>
          <w:b/>
          <w:color w:val="4A6B25"/>
          <w:sz w:val="20"/>
        </w:rPr>
        <w:t xml:space="preserve">3. </w:t>
      </w:r>
      <w:r>
        <w:rPr>
          <w:rFonts w:ascii="Calibri" w:hAnsi="Calibri"/>
          <w:b w:val="0"/>
          <w:color w:val="3A4A28"/>
          <w:sz w:val="20"/>
        </w:rPr>
        <w:t>Gucci beauty license expiration in 2028 — loss of a marquee prestige brand reduces revenue and negotiating leverage with retail partners, with no announced replacement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Coty's core business — manufacturing and selling physical beauty products (fragrances, cosmetics, skincare) — has meaningful defensive moats against AI disruption. Fragrance is inherently sensory and physical, requiring chemistry, manufacturing, and brand heritage that AI cannot replicate [2]. Prestige beauty relies on brand equity, retail relationships, and emotional marketing that have high switching costs. However, AI-powered beauty tools (virtual try-on, personalized skincare recommendations, AI-generated marketing) could pressure margins and change competitive dynamics in the mass market Consumer Beauty segment. AI Opportunity (1/1): Coty is deploying AI internally through its OpenAI/ChatGPT Enterprise collaboration across demand planning, marketing, and innovation processes, generating operational efficiencies even if not yet AI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Coty Q2 FY2026 Earnings Release — $1,678.6M revenue (LFL -3%), net loss of $126.9M, guidance withdrawn, February 2026</w:t>
      </w:r>
    </w:p>
    <w:p>
      <w:pPr>
        <w:spacing w:before="20" w:after="20"/>
        <w:ind w:left="170"/>
      </w:pPr>
      <w:r>
        <w:rPr>
          <w:rFonts w:ascii="Calibri" w:hAnsi="Calibri"/>
          <w:b/>
          <w:color w:val="4A6B25"/>
          <w:sz w:val="15"/>
        </w:rPr>
        <w:t xml:space="preserve">2. </w:t>
      </w:r>
      <w:r>
        <w:rPr>
          <w:rFonts w:ascii="Calibri" w:hAnsi="Calibri"/>
          <w:b w:val="0"/>
          <w:color w:val="3A4A28"/>
          <w:sz w:val="17"/>
        </w:rPr>
        <w:t>Coty Leadership and AI Strategy — Interim CEO Markus Strobel, OpenAI collaboration, executive reshuffling, turnaround plan, December 2025-March 2026</w:t>
      </w:r>
    </w:p>
    <w:p>
      <w:pPr>
        <w:spacing w:before="20" w:after="20"/>
        <w:ind w:left="170"/>
      </w:pPr>
      <w:r>
        <w:rPr>
          <w:rFonts w:ascii="Calibri" w:hAnsi="Calibri"/>
          <w:b/>
          <w:color w:val="4A6B25"/>
          <w:sz w:val="15"/>
        </w:rPr>
        <w:t xml:space="preserve">3. </w:t>
      </w:r>
      <w:r>
        <w:rPr>
          <w:rFonts w:ascii="Calibri" w:hAnsi="Calibri"/>
          <w:b w:val="0"/>
          <w:color w:val="3A4A28"/>
          <w:sz w:val="17"/>
        </w:rPr>
        <w:t>Hagens Berman, Robbins LLP, Multiple Law Firms — Securities fraud class action lawsuits, misleading disclosure allegations, May 2026 deadline</w:t>
      </w:r>
    </w:p>
    <w:p>
      <w:pPr>
        <w:spacing w:before="20" w:after="20"/>
        <w:ind w:left="170"/>
      </w:pPr>
      <w:r>
        <w:rPr>
          <w:rFonts w:ascii="Calibri" w:hAnsi="Calibri"/>
          <w:b/>
          <w:color w:val="4A6B25"/>
          <w:sz w:val="15"/>
        </w:rPr>
        <w:t xml:space="preserve">4. </w:t>
      </w:r>
      <w:r>
        <w:rPr>
          <w:rFonts w:ascii="Calibri" w:hAnsi="Calibri"/>
          <w:b w:val="0"/>
          <w:color w:val="3A4A28"/>
          <w:sz w:val="17"/>
        </w:rPr>
        <w:t>Yahoo Finance — COTY key statistics, D/E 82.7%, ROE -12.6%, Forward P/E 5.29,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