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CPNG</w:t>
      </w:r>
      <w:r>
        <w:rPr>
          <w:rFonts w:ascii="Calibri" w:hAnsi="Calibri"/>
          <w:b/>
          <w:color w:val="1A2010"/>
          <w:sz w:val="40"/>
        </w:rPr>
        <w:t xml:space="preserve">  Coupang, Inc.</w:t>
      </w:r>
    </w:p>
    <w:p>
      <w:pPr>
        <w:spacing w:after="120"/>
      </w:pPr>
      <w:r>
        <w:rPr>
          <w:rFonts w:ascii="Calibri" w:hAnsi="Calibri"/>
          <w:b/>
          <w:color w:val="6E8450"/>
          <w:sz w:val="18"/>
        </w:rPr>
        <w:t>GROWTH SLEEVE · 2026-03-23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NYSE · United States</w:t>
      </w:r>
    </w:p>
    <w:p>
      <w:pPr>
        <w:spacing w:after="80"/>
      </w:pPr>
      <w:r>
        <w:rPr>
          <w:rFonts w:ascii="Calibri" w:hAnsi="Calibri"/>
          <w:b w:val="0"/>
          <w:color w:val="3A4A28"/>
          <w:sz w:val="20"/>
        </w:rPr>
        <w:t>Coupang is South Korea's largest e-commerce platform, operating an end-to-end logistics network for same-day and next-day delivery. The company serves 24.7 million active customers across product commerce and developing offerings including Taiwan expansion and Coupang Eats.</w:t>
      </w:r>
    </w:p>
    <w:p>
      <w:r>
        <w:rPr>
          <w:rFonts w:ascii="Calibri" w:hAnsi="Calibri"/>
          <w:b/>
          <w:color w:val="6E8450"/>
          <w:sz w:val="18"/>
        </w:rPr>
        <w:t>108,000 Employees · https://www.aboutcoupang.com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Coupang built a vertically integrated e-commerce and logistics platform that redefined South Korean retail, and is now replicating the model in Taiwan with triple-digit revenue growth in Developing Offerings [1]. The Rocket Delivery network enabling same-day/next-day shipping to 99% of South Korea is a genuine logistical innovation. AI Deployment (1/2): Coupang rebranded its AI cloud service as Coupang Intelligent Cloud (CIC) and invests in AI, ML, and robotics for logistics optimization, but specific revenue figures from AI products were not quantified [1]. Market Share (2/2): Coupang is the dominant e-commerce platform in South Korea with 24.7M active customers (up 10% YoY), generating $34.5B in trailing 12-month revenue [1]. Pipeline (1/2): Taiwan expansion is ramping with triple-digit growth, and Coupang Eats and Coupang Play provide diversification, though specific revenue targets are unclear [1]. R&amp;D Intensity (1/1): Massive investment in end-to-end tech stack, robotics, and smart logistics infrastructure places Coupang above industry average for R&amp;D commitment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Coupang's stated purpose — 'to create a world where customers wonder how they ever lived without Coupang' — is clear and customer-focused but not deeply purposeful beyond commerce convenience [2]. Community Impact (0/2): No evidence of significant charitable programs; the company faces worker death controversies, employment blacklists, and union suppression allegations that actively undermine community standing [3]. Employee Retention (0/2): Glassdoor rating of 2.7/5 for culture with only 50% recommendation rate; reports of 70-hour workweeks, widespread burnout, and the 'golden cage' reputation suggest severe retention challenges [2]. Insider Buying (1/2): Founder Bom Kim retains significant equity stake, indicating alignment, though his absence from National Assembly hearings raises governance concerns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Coupang's infrastructure score is dragged down by razor-thin profitability and extreme valuation. Profit margin of just 0.6% and ROE of 4.9% are well below targets, reflecting the company's aggressive reinvestment strategy [6]. Forward P/E of 32.9x is elevated for a company with single-digit revenue growth in 2026 (Q1 guided at 5-10% constant currency due to data breach impact) [1]. D/E of 100.3% is moderate, and trailing P/E of 171.2x reflects minimal earnings [6]. Free cash flow of $1.3B (up 36% YoY) and operating cash flow of $2.4B are bright spots [1]. Revenue growth of 10.9% YoY is reasonable but decelerating. Liquidity floor easily cleared: 24.7M avg vol x $18.83 = $465M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Coupang's ambitious vision to transform commerce across Asia and its willingness to absorb $950M-$1B in Developing Offerings losses shows long-term thinking. However, worker death controversies, employment blacklists, union suppression, and a toxic internal culture documented on Glassdoor suggest the company plays to win at the expense of its people.</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Coupang's cause of transforming how people shop, eat, and live by making it 'easier than ever' has genuine customer impact — Rocket Delivery reaches 99% of South Korea within 24 hours [2]. The expansion into Taiwan and developing offerings shows commitment to extending this vision beyond one market.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rates Coupang just 2.4/5 for work-life balance with reports of 70-hour workweeks and widespread burnout [2]. Seven employee deaths from cardiovascular disorders in one year were linked to overwork at logistics centers [3]. The employment blacklist of 16,450 workers over six years, including union members and journalists, represents a fundamental betrayal of trust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Coupang competes against Naver Shopping, SSG.com, and 11st in South Korea, and acknowledges Amazon as a global benchmark. The move to replicate Amazon's integrated model but with faster delivery suggests Coupang studies and adapts from rivals' playbooks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Coupang has expanded from Korean e-commerce into food delivery (Coupang Eats), streaming (Coupang Play), Taiwan expansion, and cloud computing (CIC), demonstrating willingness to evolve beyond its core [1]. The acceptance of $950M-$1B losses in Developing Offerings for 2026 shows commitment to strategic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Coupang shows operational courage in its willingness to invest heavily in Taiwan expansion and absorb near-term losses for long-term positioning [1]. However, founder Bom Kim's absence from National Assembly hearings, the employment blacklist scandal, and union suppression demonstrate a lack of moral courage in leadership accountability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Coupang dominates South Korean e-commerce with 24.7M active customers, $34.5B trailing revenue, and an unmatched logistics infrastructure enabling Rocket Delivery to 99% of the country [1]. Product Commerce margins continue improving with gross profit up 24% YoY, and free cash flow of $1.3B (up 36%) demonstrates the business model's underlying profitability. Taiwan expansion showing triple-digit growth represents a potential second growth engine, and the stock trades at a reasonable $34.4B market cap for a dominant platform [1].</w:t>
      </w:r>
    </w:p>
    <w:p>
      <w:pPr>
        <w:spacing w:after="120"/>
      </w:pPr>
      <w:r>
        <w:rPr>
          <w:rFonts w:ascii="Calibri" w:hAnsi="Calibri"/>
          <w:b w:val="0"/>
          <w:color w:val="3A4A28"/>
          <w:sz w:val="20"/>
        </w:rPr>
        <w:t>The bear case is significant: the November 2025 data breach of 33.7M users has caused active customer declines and WOW membership erosion, with management warning of near-term EBITDA margin disruption [1]. Q1 2026 revenue growth guidance of just 5-10% (constant currency) is a sharp deceleration from 18-20% in 2025. Developing Offerings will lose $950M-$1B in 2026, and the ESG controversy score of 9/100 from S&amp;P Global reflects deep concerns about worker safety, union suppression, and governance failures [3]. Forward P/E of 32.9x is hard to justify with decelerating growth and 0.6% profit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breach impact stabilization and active customer recovery expected through mid-2026</w:t>
      </w:r>
    </w:p>
    <w:p>
      <w:pPr>
        <w:spacing w:before="40" w:after="40"/>
        <w:ind w:left="283"/>
      </w:pPr>
      <w:r>
        <w:rPr>
          <w:rFonts w:ascii="Calibri" w:hAnsi="Calibri"/>
          <w:b/>
          <w:color w:val="4A6B25"/>
          <w:sz w:val="20"/>
        </w:rPr>
        <w:t xml:space="preserve">2. </w:t>
      </w:r>
      <w:r>
        <w:rPr>
          <w:rFonts w:ascii="Calibri" w:hAnsi="Calibri"/>
          <w:b w:val="0"/>
          <w:color w:val="3A4A28"/>
          <w:sz w:val="20"/>
        </w:rPr>
        <w:t>Taiwan expansion delivering triple-digit revenue growth as Coupang replicates its Korean logistics model in a $50B+ market</w:t>
      </w:r>
    </w:p>
    <w:p>
      <w:pPr>
        <w:spacing w:before="40" w:after="40"/>
        <w:ind w:left="283"/>
      </w:pPr>
      <w:r>
        <w:rPr>
          <w:rFonts w:ascii="Calibri" w:hAnsi="Calibri"/>
          <w:b/>
          <w:color w:val="4A6B25"/>
          <w:sz w:val="20"/>
        </w:rPr>
        <w:t xml:space="preserve">3. </w:t>
      </w:r>
      <w:r>
        <w:rPr>
          <w:rFonts w:ascii="Calibri" w:hAnsi="Calibri"/>
          <w:b w:val="0"/>
          <w:color w:val="3A4A28"/>
          <w:sz w:val="20"/>
        </w:rPr>
        <w:t>Product Commerce margin expansion continuing toward profitability milestones with 24% gross profit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breach fallout causing sustained active customer declines and WOW membership erosion, with Q1 2026 growth decelerating to 5-10%</w:t>
      </w:r>
    </w:p>
    <w:p>
      <w:pPr>
        <w:spacing w:before="40" w:after="40"/>
        <w:ind w:left="283"/>
      </w:pPr>
      <w:r>
        <w:rPr>
          <w:rFonts w:ascii="Calibri" w:hAnsi="Calibri"/>
          <w:b/>
          <w:color w:val="4A6B25"/>
          <w:sz w:val="20"/>
        </w:rPr>
        <w:t xml:space="preserve">2. </w:t>
      </w:r>
      <w:r>
        <w:rPr>
          <w:rFonts w:ascii="Calibri" w:hAnsi="Calibri"/>
          <w:b w:val="0"/>
          <w:color w:val="3A4A28"/>
          <w:sz w:val="20"/>
        </w:rPr>
        <w:t>Developing Offerings projected to lose $950M-$1B in 2026, creating significant cash drain on the business</w:t>
      </w:r>
    </w:p>
    <w:p>
      <w:pPr>
        <w:spacing w:before="40" w:after="40"/>
        <w:ind w:left="283"/>
      </w:pPr>
      <w:r>
        <w:rPr>
          <w:rFonts w:ascii="Calibri" w:hAnsi="Calibri"/>
          <w:b/>
          <w:color w:val="4A6B25"/>
          <w:sz w:val="20"/>
        </w:rPr>
        <w:t xml:space="preserve">3. </w:t>
      </w:r>
      <w:r>
        <w:rPr>
          <w:rFonts w:ascii="Calibri" w:hAnsi="Calibri"/>
          <w:b w:val="0"/>
          <w:color w:val="3A4A28"/>
          <w:sz w:val="20"/>
        </w:rPr>
        <w:t>ESG controversies including worker deaths, employment blacklists, and union suppression creating regulatory and reputational risk in South Korea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E-commerce is partially exposed to AI disruption as AI-powered search, recommendation engines, and conversational commerce could reduce switching costs and erode Coupang's walled garden advantage [1]. However, Coupang's physical logistics infrastructure — warehouses, delivery fleet, cold chain — provides a meaningful defensive moat that AI cannot replicate. The November 2025 data breach (33.7M users) exposed cybersecurity weaknesses that AI threats could exacerbate [3]. AI Opportunity (1/1): Coupang generates some AI-related revenue through its Coupang Intelligent Cloud service and uses AI/ML for logistics optimization, product recommendations, and smart pricing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Coupang Q3/Q4 2025 Earnings Reports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Coupang leadership principles and Glassdoor reviews,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Korea Herald, Business &amp; Human Rights Resource Centre — Coupang worker safety, blacklist, and union suppression coverage, 2025-2026</w:t>
      </w:r>
    </w:p>
    <w:p>
      <w:pPr>
        <w:spacing w:before="20" w:after="20"/>
        <w:ind w:left="170"/>
      </w:pPr>
      <w:r>
        <w:rPr>
          <w:rFonts w:ascii="Calibri" w:hAnsi="Calibri"/>
          <w:b/>
          <w:color w:val="4A6B25"/>
          <w:sz w:val="15"/>
        </w:rPr>
        <w:t xml:space="preserve">4. </w:t>
      </w:r>
      <w:r>
        <w:rPr>
          <w:rFonts w:ascii="Calibri" w:hAnsi="Calibri"/>
          <w:b w:val="0"/>
          <w:color w:val="3A4A28"/>
          <w:sz w:val="17"/>
        </w:rPr>
        <w:t>S&amp;P Global ESG Rating for Coupang, July 2024</w:t>
      </w:r>
    </w:p>
    <w:p>
      <w:pPr>
        <w:spacing w:before="20" w:after="20"/>
        <w:ind w:left="170"/>
      </w:pPr>
      <w:r>
        <w:rPr>
          <w:rFonts w:ascii="Calibri" w:hAnsi="Calibri"/>
          <w:b/>
          <w:color w:val="4A6B25"/>
          <w:sz w:val="15"/>
        </w:rPr>
        <w:t xml:space="preserve">5. </w:t>
      </w:r>
      <w:r>
        <w:rPr>
          <w:rFonts w:ascii="Calibri" w:hAnsi="Calibri"/>
          <w:b w:val="0"/>
          <w:color w:val="3A4A28"/>
          <w:sz w:val="17"/>
        </w:rPr>
        <w:t>Seeking Alpha — Coupang 2026 EBITDA and revenue growth analysis, March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CPNG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