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CPRI</w:t>
      </w:r>
      <w:r>
        <w:rPr>
          <w:rFonts w:ascii="Calibri" w:hAnsi="Calibri"/>
          <w:b/>
          <w:color w:val="1A2010"/>
          <w:sz w:val="40"/>
        </w:rPr>
        <w:t xml:space="preserve">  Capri Holdings Limited</w:t>
      </w:r>
    </w:p>
    <w:p>
      <w:pPr>
        <w:spacing w:after="120"/>
      </w:pPr>
      <w:r>
        <w:rPr>
          <w:rFonts w:ascii="Calibri" w:hAnsi="Calibri"/>
          <w:b/>
          <w:color w:val="6E8450"/>
          <w:sz w:val="18"/>
        </w:rPr>
        <w:t>GROWTH SLEEVE · 2026-04-10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Luxury Goods · NYSE · United Kingdom</w:t>
      </w:r>
    </w:p>
    <w:p>
      <w:pPr>
        <w:spacing w:after="80"/>
      </w:pPr>
      <w:r>
        <w:rPr>
          <w:rFonts w:ascii="Calibri" w:hAnsi="Calibri"/>
          <w:b w:val="0"/>
          <w:color w:val="3A4A28"/>
          <w:sz w:val="20"/>
        </w:rPr>
        <w:t>Capri Holdings is a global fashion luxury group that designs, markets, distributes, and retails branded apparel, footwear, and accessories. Following the sale of Versace to Prada for $1.4B in 2025, the company operates two segments: Michael Kors (accessible luxury handbags, apparel, footwear) and Jimmy Choo (luxury shoes, accessories). Products are sold through boutiques, department stores, and e-commerce globally.</w:t>
      </w:r>
    </w:p>
    <w:p>
      <w:r>
        <w:rPr>
          <w:rFonts w:ascii="Calibri" w:hAnsi="Calibri"/>
          <w:b/>
          <w:color w:val="6E8450"/>
          <w:sz w:val="18"/>
        </w:rPr>
        <w:t>9,700 Employees · https://www.capriholdings.com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has declined three consecutive years from $5.65B (FY2022) to $4.44B (FY2025), with FY2026 guided to $3.45-$3.475B post-Versace divestiture [1][2]. The $1.4B Versace sale to Prada was strategically necessary but represents portfolio contraction, not innovation. Jimmy Choo finally achieved positive operating margin at 1.8% (vs. -3.8% prior year), which is progress but from a low base [2]. AI Deployment (0/2): Capri uses data analytics and AI for customer personalization and inventory optimization, but no measurable AI-driven revenue or proprietary AI products are evident [3]. Market Share (1/2): Michael Kors remains a major accessible luxury brand but has been losing share to competitors as full-price sell-through rates declined and promotional activity increased; the brand's relevance among younger consumers has weakened [2]. Pipeline (0/2): No next-generation products or brand launches announced; management's guidance centers on improving existing brand execution and promises 'a return to growth in fiscal 2027' without specific product-level catalysts [2]. R&amp;D Intensity (0/1): Fashion luxury companies have minimal R&amp;D intensity; no evidence of above-average investment in design innovation or technology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Capri Holdings' corporate purpose is generic — delivering 'exceptional products and distinctive brand experiences' is interchangeable with any luxury group. The company's identity has been fragmented by acquisitions and now the Versace divestiture [3]. Community Impact (1/2): Capri Cares program includes philanthropy and employee volunteer initiatives; the company's supply chain sustainability efforts cover leather sourcing, GHG emissions, and renewable energy investments, though specifics on dollar amounts are limited [4]. Employee Retention (1/2): Glassdoor rating of 3.7/5 based on 1,768 reviews with 62% recommending is adequate; however, only 44% have a positive business outlook, reflecting organizational uncertainty post-merger collapse and Versace sale [3]. Insider Buying (0/2): No evidence of insider buying; Wells Fargo downgraded the stock and insider share sales were noted, indicating leadership lacks conviction in the near-term story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Capri's financial profile reflects a company in distress. D/E of 1213.9% is catastrophically high despite the $1.4B Versace sale reducing net debt to $80M (the ratio reflects negative equity from accumulated losses) [1][2]. ROE of -195.6% driven by FY2025 net loss of -$1.18B including impairment charges. Revenue has declined from $5.65B to a guided $3.45B over four years. Profit margin of -11.7% reflects ongoing losses [1]. The sole bright spot is Forward P/E of 10.6x, which prices in recovery expectations of $1.30-$1.40 EPS in FY2026 [2]. The 5yr revenue CAGR of approximately -8% is below the -5% floor. Gross margin of 60.8% shows the luxury brand still has pricing power at the product level, but operating execution has eroded value [2]. Liquidity floor cleared at $63.8M daily dollar volume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Capri Holdings operates with a predominantly finite mindset — the failed $8.5B Tapestry merger, subsequent Versace fire sale, and focus on quarterly earnings recovery reflect a company playing to survive this quarter rather than building for endurance. CEO John Idol's 22-year tenure provides continuity but the strategic direction has been reactive rather than purposeful.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Capri has no articulated just cause beyond delivering luxury products to consumers. The company's strategic narrative has shifted from 'building a global luxury group' (acquiring Versace and Jimmy Choo) to 'right-sizing the portfolio' (selling Versace) in just seven years [2]. This strategic whiplash — buying Versace for $2.1B in 2018 and selling for $1.4B in 2025 — reveals a company chasing financial outcomes rather than advancing a durable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3.7/5 with 1,768 reviews suggests an adequate but not exceptional trust environment [3]. Only 44% of employees have a positive business outlook, reflecting the organizational uncertainty from the failed Tapestry merger and Versace divestiture. CEO Idol's 22-year tenure provides some leadership stability, but the revolving strategic direction likely undermines team confidence.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found of Capri management acknowledging worthy rivals or learning from competitors' strengths. The competitive language in earnings calls focuses on internal execution improvements rather than how LVMH, Hermès, or Kering's approaches inform Capri's strategy. The failed Tapestry merger attempt reflected a 'beat through scale' finite mentality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Versace divestiture for $1.4B, while value-destructive (bought for $2.1B in 2018), demonstrates willingness to make painful strategic decisions [2]. The debt reduction from $1.6B to $80M net debt fundamentally restructured the balance sheet. However, this pivot was forced by the failed Tapestry merger and declining performance rather than driven by a forward-looking strategic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Idol showed some courage in selling Versace at a loss to restructure the balance sheet rather than clinging to the three-brand model through a slow decline [2]. The decision to accept $1.4B (vs. $2.1B purchase price) required acknowledging a strategic failure. However, this courage was reactive — the company fought hard for the Tapestry merger before pivoting to divestiture, suggesting the decision was forced rather than proactive.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Capri Holdings has undergone a dramatic restructuring — selling Versace for $1.4B and reducing net debt from $1.6B to $80M [2]. The streamlined two-brand portfolio (Michael Kors and Jimmy Choo) is guided to $3.45-$3.475B in FY2026 revenue with $1.30-$1.40 diluted EPS, and management expects a return to growth in FY2027 [2]. At 10.6x forward P/E, the stock prices in significant pessimism — any improvement in Michael Kors brand momentum or Jimmy Choo margin expansion could drive meaningful upside. Gross margins of 60.8% confirm underlying pricing power, and the clean balance sheet provides optionality for capital returns or strategic investments [2].</w:t>
      </w:r>
    </w:p>
    <w:p>
      <w:pPr>
        <w:spacing w:after="120"/>
      </w:pPr>
      <w:r>
        <w:rPr>
          <w:rFonts w:ascii="Calibri" w:hAnsi="Calibri"/>
          <w:b w:val="0"/>
          <w:color w:val="3A4A28"/>
          <w:sz w:val="20"/>
        </w:rPr>
        <w:t>The bear case is substantial. Revenue has declined from $5.65B to a guided $3.45B over four fiscal years, representing a fundamental erosion of the Michael Kors brand franchise [1]. The D/E ratio of 1213.9% (driven by negative equity from accumulated impairments and losses) reflects years of value destruction — buying Versace for $2.1B and selling for $1.4B, the failed $8.5B Tapestry merger that consumed management attention for over a year, and a $1.18B net loss in FY2025 [1][2]. Michael Kors faces secular challenges from AI-powered fast fashion competitors (Shein, Temu) compressing the accessible luxury segment, declining foot traffic in department stores, and promotional dependency that has diluted brand perception. Jimmy Choo's 1.8% operating margin suggests the brand remains subscale [2]. CEO Idol's 22-year tenure raises succession risk, and only 44% of Glassdoor reviewers have a positive business outlook [3]. The 'return to growth' thesis requires Michael Kors to reverse multi-year share losses against better-positioned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return to revenue growth as Michael Kors stabilizes through improved full-price sell-through rates and reduced promotional dependency [2]</w:t>
      </w:r>
    </w:p>
    <w:p>
      <w:pPr>
        <w:spacing w:before="40" w:after="40"/>
        <w:ind w:left="283"/>
      </w:pPr>
      <w:r>
        <w:rPr>
          <w:rFonts w:ascii="Calibri" w:hAnsi="Calibri"/>
          <w:b/>
          <w:color w:val="4A6B25"/>
          <w:sz w:val="20"/>
        </w:rPr>
        <w:t xml:space="preserve">2. </w:t>
      </w:r>
      <w:r>
        <w:rPr>
          <w:rFonts w:ascii="Calibri" w:hAnsi="Calibri"/>
          <w:b w:val="0"/>
          <w:color w:val="3A4A28"/>
          <w:sz w:val="20"/>
        </w:rPr>
        <w:t>Balance sheet optionality — net debt reduced to $80M enables potential share buybacks, dividend initiation, or strategic acquisitions [2]</w:t>
      </w:r>
    </w:p>
    <w:p>
      <w:pPr>
        <w:spacing w:before="40" w:after="40"/>
        <w:ind w:left="283"/>
      </w:pPr>
      <w:r>
        <w:rPr>
          <w:rFonts w:ascii="Calibri" w:hAnsi="Calibri"/>
          <w:b/>
          <w:color w:val="4A6B25"/>
          <w:sz w:val="20"/>
        </w:rPr>
        <w:t xml:space="preserve">3. </w:t>
      </w:r>
      <w:r>
        <w:rPr>
          <w:rFonts w:ascii="Calibri" w:hAnsi="Calibri"/>
          <w:b w:val="0"/>
          <w:color w:val="3A4A28"/>
          <w:sz w:val="20"/>
        </w:rPr>
        <w:t>Jimmy Choo margin expansion from 1.8% operating margin toward mid-single digits through operational efficiency and brand repositioning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Michael Kors brand erosion — accessible luxury segment under secular pressure from AI-powered fast fashion (Shein, Temu) and shifting consumer preferences away from logo-driven products [2]</w:t>
      </w:r>
    </w:p>
    <w:p>
      <w:pPr>
        <w:spacing w:before="40" w:after="40"/>
        <w:ind w:left="283"/>
      </w:pPr>
      <w:r>
        <w:rPr>
          <w:rFonts w:ascii="Calibri" w:hAnsi="Calibri"/>
          <w:b/>
          <w:color w:val="4A6B25"/>
          <w:sz w:val="20"/>
        </w:rPr>
        <w:t xml:space="preserve">2. </w:t>
      </w:r>
      <w:r>
        <w:rPr>
          <w:rFonts w:ascii="Calibri" w:hAnsi="Calibri"/>
          <w:b w:val="0"/>
          <w:color w:val="3A4A28"/>
          <w:sz w:val="20"/>
        </w:rPr>
        <w:t>Value destruction track record — Versace acquired for $2.1B, sold for $1.4B; failed Tapestry merger consumed 12+ months of management attention; FY2025 net loss of $1.18B [1][2]</w:t>
      </w:r>
    </w:p>
    <w:p>
      <w:pPr>
        <w:spacing w:before="40" w:after="40"/>
        <w:ind w:left="283"/>
      </w:pPr>
      <w:r>
        <w:rPr>
          <w:rFonts w:ascii="Calibri" w:hAnsi="Calibri"/>
          <w:b/>
          <w:color w:val="4A6B25"/>
          <w:sz w:val="20"/>
        </w:rPr>
        <w:t xml:space="preserve">3. </w:t>
      </w:r>
      <w:r>
        <w:rPr>
          <w:rFonts w:ascii="Calibri" w:hAnsi="Calibri"/>
          <w:b w:val="0"/>
          <w:color w:val="3A4A28"/>
          <w:sz w:val="20"/>
        </w:rPr>
        <w:t>CEO succession risk — John Idol has led for 22 years through a period of declining performance, and only 44% of employees have a positive business outlook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Luxury fashion is moderately protected from AI disruption — brand heritage, craftsmanship, physical retail experience, and emotional brand attachment cannot be replicated by AI [3]. However, AI-powered fast fashion competitors (Shein, Temu) are compressing the accessible luxury segment where Michael Kors competes, using AI to accelerate design-to-market cycles and price optimization. AI-driven personalization is becoming table stakes in retail, and Capri's investments in data analytics lag behind digitally-native competitors. The physical retail footprint and supply chain complexity create some structural protection, but the 'accessible luxury' positioning makes Capri more exposed than true luxury houses (Hermès, LVMH). AI Opportunity (0/1): No evidence of AI-generated revenue; Capri's AI use is limited to internal operations (inventory optimization, customer personalization) without measurable revenue impact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data for CPRI (Capri Holdings), retrieved April 10, 2026</w:t>
      </w:r>
    </w:p>
    <w:p>
      <w:pPr>
        <w:spacing w:before="20" w:after="20"/>
        <w:ind w:left="170"/>
      </w:pPr>
      <w:r>
        <w:rPr>
          <w:rFonts w:ascii="Calibri" w:hAnsi="Calibri"/>
          <w:b/>
          <w:color w:val="4A6B25"/>
          <w:sz w:val="15"/>
        </w:rPr>
        <w:t xml:space="preserve">2. </w:t>
      </w:r>
      <w:r>
        <w:rPr>
          <w:rFonts w:ascii="Calibri" w:hAnsi="Calibri"/>
          <w:b w:val="0"/>
          <w:color w:val="3A4A28"/>
          <w:sz w:val="17"/>
        </w:rPr>
        <w:t>Capri Holdings Q3 FY2026 Earnings Release — $1.025B revenue, $0.81 EPS, Versace sale for $1.4B, net debt reduced to $80M,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 Investing.com / Yahoo Finance — Capri Holdings leadership, culture (3.7/5 rating), AI strategy, and analyst commentary</w:t>
      </w:r>
    </w:p>
    <w:p>
      <w:pPr>
        <w:spacing w:before="20" w:after="20"/>
        <w:ind w:left="170"/>
      </w:pPr>
      <w:r>
        <w:rPr>
          <w:rFonts w:ascii="Calibri" w:hAnsi="Calibri"/>
          <w:b/>
          <w:color w:val="4A6B25"/>
          <w:sz w:val="15"/>
        </w:rPr>
        <w:t xml:space="preserve">4. </w:t>
      </w:r>
      <w:r>
        <w:rPr>
          <w:rFonts w:ascii="Calibri" w:hAnsi="Calibri"/>
          <w:b w:val="0"/>
          <w:color w:val="3A4A28"/>
          <w:sz w:val="17"/>
        </w:rPr>
        <w:t>Capri Holdings corporate website — ESG resources, Capri Cares program, environmental initiatives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