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CPRT</w:t>
      </w:r>
      <w:r>
        <w:rPr>
          <w:rFonts w:ascii="Calibri" w:hAnsi="Calibri"/>
          <w:b/>
          <w:color w:val="1A2010"/>
          <w:sz w:val="40"/>
        </w:rPr>
        <w:t xml:space="preserve">  Copart, Inc.</w:t>
      </w:r>
    </w:p>
    <w:p>
      <w:pPr>
        <w:spacing w:after="120"/>
      </w:pPr>
      <w:r>
        <w:rPr>
          <w:rFonts w:ascii="Calibri" w:hAnsi="Calibri"/>
          <w:b/>
          <w:color w:val="6E8450"/>
          <w:sz w:val="18"/>
        </w:rPr>
        <w:t>GROWTH SLEEVE · 2026-03-27 · Inspire: 32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NASDAQ · United States</w:t>
      </w:r>
    </w:p>
    <w:p>
      <w:pPr>
        <w:spacing w:after="80"/>
      </w:pPr>
      <w:r>
        <w:rPr>
          <w:rFonts w:ascii="Calibri" w:hAnsi="Calibri"/>
          <w:b w:val="0"/>
          <w:color w:val="3A4A28"/>
          <w:sz w:val="20"/>
        </w:rPr>
        <w:t>Copart, Inc. is a global leader in online vehicle auctions and remarketing services, serving insurance companies, rental car firms, fleet operators, and dealers across over 250 locations in 11 countries. The company pioneered the VB3 virtual auction platform and sells over 4 million vehicles annually.</w:t>
      </w:r>
    </w:p>
    <w:p>
      <w:r>
        <w:rPr>
          <w:rFonts w:ascii="Calibri" w:hAnsi="Calibri"/>
          <w:b/>
          <w:color w:val="6E8450"/>
          <w:sz w:val="18"/>
        </w:rPr>
        <w:t>13,800 Employees · https://www.copart.com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Copart transformed from a physical junkyard operator into a global technology-driven auction platform, pioneering virtual bidding (VB3) that now supports real-time multi-currency transactions for buyers in 190+ countries [2]. The expansion into BlueCar dealer services (14% growth in Q3 2025) and the Purple Wave heavy equipment partnership demonstrate continuous business model evolution [2]. AI Deployment (2/2): AI-driven damage coding helps insurers predict total loss thresholds faster and more accurately, and AI-powered inventory management optimizes auction pricing and reduces vehicle processing downtime [2]. Market Share Leadership (2/2): Copart holds approximately 50% of the U.S. insurance salvage market versus 35% for RB Global, a dominant and growing position [2]. Product Pipeline (0/2): Beyond incremental technology improvements and EV battery handling capabilities, no specific next-gen product launches with defined timelines are announced [2]. R&amp;D Intensity (1/1): Technology investment is well above industry average for business services, with continuous platform development driving competitive differentiation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Copart's mission centers on vehicle remarketing efficiency rather than a broader societal purpose — while the company reduces waste by salvaging vehicles, the mission articulation is commercially focused [2]. Community Impact (1/2): Copart's environmental services including EV battery handling and vehicle recycling contribute to circular economy goals, though community investment metrics are not prominently disclosed [3]. Employee Retention (2/2): The founder-led, owner-operator culture with Willis Johnson (founder) and Jay Adair (Executive Chairman) maintaining significant equity stakes creates strong alignment; employee tenure appears above average for the industry [2]. Insider Buying (1/2): Founder and executive equity stakes remain substantial, signaling long-term conviction, though recent transactions are primarily equity awards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Copart demonstrates exceptional financial discipline with D/E of just 0.98%, near-zero leverage, and ROE of 17.1% above the 15% threshold [1]. Profit margin of 33.8% is outstanding, and the company holds $5.2B in cash [1]. Forward P/E of 19.7 is reasonable given quality, and fiscal 2025 revenue grew 9.7% to $4.6B with 13.9% net income growth [1]. H1 fiscal 2026 was flat YoY at $0.77 EPS after a weak Q2 (revenue -3.6%), but this appears weather and volume-related rather than structural [1]. Daily dollar volume of ~$312M provides excellent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Copart's founder-led culture, multi-decade land acquisition strategy, and willingness to invest in 10,000+ acres of real estate for long-term competitive advantage epitomize infinite-game thinking — the company plays to keep playing rather than optimize for quarterly results.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While vehicle remarketing is not inherently inspirational, Copart's vision of creating the most efficient global marketplace for vehicle disposition and recycling has environmental benefits and reduces waste across the automotive value chain [2].</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owner-operator culture established by Willis Johnson and maintained by Jay Adair and Jeff Liaw creates strong internal trust, with leadership transitions executed smoothly over decades and significant equity alignment at all executive levels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Copart respects RB Global (IAA) as a worthy competitor and has responded to competitive threats through technology innovation and international expansion rather than destructive price wars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Copart's evolution from physical junkyard to global technology platform, expansion into dealer services (BlueCar), heavy equipment (Purple Wave), and EV battery handling demonstrates continuous business model evolution over decades [2].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accumulate 10,000+ acres of land and $5.2B in cash while maintaining near-zero debt reflects extraordinary capital discipline and long-term strategic courage that few public companies demonstrate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Copart is a rare combination of quality and durability — 50% U.S. salvage market share, 33.8% profit margins, near-zero debt, and $5.2B in cash create an almost unassailable competitive position [1][2]. The founder-led, owner-operator culture has compounded shareholder value for decades through disciplined land acquisition and technology investment. Fiscal 2025 delivered 9.7% revenue growth and 13.9% net income growth, and the Q2 FY2026 softness appears volume-related rather than structural [1]. At a forward P/E of 19.7x, Copart trades at a discount to its quality metrics, and the global vehicle auction TAM continues to expand with rising vehicle complexity and insurance write-offs [2].</w:t>
      </w:r>
    </w:p>
    <w:p>
      <w:pPr>
        <w:spacing w:after="120"/>
      </w:pPr>
      <w:r>
        <w:rPr>
          <w:rFonts w:ascii="Calibri" w:hAnsi="Calibri"/>
          <w:b w:val="0"/>
          <w:color w:val="3A4A28"/>
          <w:sz w:val="20"/>
        </w:rPr>
        <w:t>The primary risk is valuation compression — at 20x trailing earnings for a business that grew revenue -3.6% in Q2 FY2026, investors may question whether the premium multiple is justified during a soft patch [1]. The stock has fallen 48% from its 52-week high of $63.85, suggesting the market is repricing growth expectations. International expansion and dealer services are growth vectors but unproven at scale, and severe weather pattern variability creates inherent revenue volatility. The $1.25B revolving credit facility, while undrawn, signals potential appetite for M&amp;A that could dilute returns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Recovery in vehicle volume and revenue growth in H2 fiscal 2026 would confirm the Q2 softness was weather-related and restore growth narrative [1]</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and BlueCar dealer services scaling above 14% growth could provide new revenue streams beyond insurance salvage [2]</w:t>
      </w:r>
    </w:p>
    <w:p>
      <w:pPr>
        <w:spacing w:before="40" w:after="40"/>
        <w:ind w:left="283"/>
      </w:pPr>
      <w:r>
        <w:rPr>
          <w:rFonts w:ascii="Calibri" w:hAnsi="Calibri"/>
          <w:b/>
          <w:color w:val="4A6B25"/>
          <w:sz w:val="20"/>
        </w:rPr>
        <w:t xml:space="preserve">3. </w:t>
      </w:r>
      <w:r>
        <w:rPr>
          <w:rFonts w:ascii="Calibri" w:hAnsi="Calibri"/>
          <w:b w:val="0"/>
          <w:color w:val="3A4A28"/>
          <w:sz w:val="20"/>
        </w:rPr>
        <w:t>Rising EV adoption increases vehicle complexity and total loss rates, expanding the addressable market for Copart's salvage and remarketing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 of 3.6% in Q2 FY2026 may signal more structural headwinds in insurance salvage volumes than management acknowledges [1]</w:t>
      </w:r>
    </w:p>
    <w:p>
      <w:pPr>
        <w:spacing w:before="40" w:after="40"/>
        <w:ind w:left="283"/>
      </w:pPr>
      <w:r>
        <w:rPr>
          <w:rFonts w:ascii="Calibri" w:hAnsi="Calibri"/>
          <w:b/>
          <w:color w:val="4A6B25"/>
          <w:sz w:val="20"/>
        </w:rPr>
        <w:t xml:space="preserve">2. </w:t>
      </w:r>
      <w:r>
        <w:rPr>
          <w:rFonts w:ascii="Calibri" w:hAnsi="Calibri"/>
          <w:b w:val="0"/>
          <w:color w:val="3A4A28"/>
          <w:sz w:val="20"/>
        </w:rPr>
        <w:t>48% decline from 52-week high reflects market concern that Copart's premium multiple may not be sustainable during slower growth periods [1]</w:t>
      </w:r>
    </w:p>
    <w:p>
      <w:pPr>
        <w:spacing w:before="40" w:after="40"/>
        <w:ind w:left="283"/>
      </w:pPr>
      <w:r>
        <w:rPr>
          <w:rFonts w:ascii="Calibri" w:hAnsi="Calibri"/>
          <w:b/>
          <w:color w:val="4A6B25"/>
          <w:sz w:val="20"/>
        </w:rPr>
        <w:t xml:space="preserve">3. </w:t>
      </w:r>
      <w:r>
        <w:rPr>
          <w:rFonts w:ascii="Calibri" w:hAnsi="Calibri"/>
          <w:b w:val="0"/>
          <w:color w:val="3A4A28"/>
          <w:sz w:val="20"/>
        </w:rPr>
        <w:t>Concentration in insurance industry relationships creates dependency on carrier total loss decision-making and claim processing timelines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Copart's business requires massive physical infrastructure — 10,000+ acres of land, tow trucks, vehicle storage facilities, and logistical operations — that cannot be digitized or disrupted by AI [2]. The regulatory and insurance industry relationships create high switching costs. The online auction platform itself benefits from network effects that AI-native entrants would struggle to replicate. AI Opportunity (1/1): Copart actively deploys AI for damage assessment, auction pricing optimization, and multi-language translation for its global buyer network, turning AI into a revenue enhancer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Copart Q2 Fiscal 2026 Earnings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Copart Company Analysis — Digital Junkyard King Research Deep Dive, March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CPRT key statistics,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Copart Investor Relations,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