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CPRX</w:t>
      </w:r>
      <w:r>
        <w:rPr>
          <w:rFonts w:ascii="Calibri" w:hAnsi="Calibri"/>
          <w:b/>
          <w:color w:val="1A2010"/>
          <w:sz w:val="40"/>
        </w:rPr>
        <w:t xml:space="preserve">  Catalyst Pharmaceuticals, Inc.</w:t>
      </w:r>
    </w:p>
    <w:p>
      <w:pPr>
        <w:spacing w:after="120"/>
      </w:pPr>
      <w:r>
        <w:rPr>
          <w:rFonts w:ascii="Calibri" w:hAnsi="Calibri"/>
          <w:b/>
          <w:color w:val="6E8450"/>
          <w:sz w:val="18"/>
        </w:rPr>
        <w:t>GROWTH SLEEVE · 2026-04-30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Catalyst Pharmaceuticals is a commercial-stage biopharmaceutical company focused on developing and commercializing therapies for rare neurological and neuromuscular diseases. The company's portfolio includes FIRDAPSE (amifampridine) for Lambert-Eaton myasthenic syndrome, AGAMREE (vamorolone) for Duchenne muscular dystrophy, and FYCOMPA (perampanel) for epilepsy.</w:t>
      </w:r>
    </w:p>
    <w:p>
      <w:r>
        <w:rPr>
          <w:rFonts w:ascii="Calibri" w:hAnsi="Calibri"/>
          <w:b/>
          <w:color w:val="6E8450"/>
          <w:sz w:val="18"/>
        </w:rPr>
        <w:t>200 Employees · https://www.catalystpharma.com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Catalyst has executed a successful commercial transformation from a single-product company to a three-product rare disease platform — acquiring AGAMREE and FYCOMPA while growing FIRDAPSE revenue from $127M (2020) to $589M total revenue (2025), representing 249% growth over 4 years [1]. The AGAMREE launch achieved $82M in its first nine months and is guided to $140-150M in 2026. AI Deployment (0/2): No evidence of AI-powered products or AI-driven operational efficiencies. Catalyst is a traditional pharmaceutical company with no visible AI deployment strategy. Market Share (2/2): FIRDAPSE is the dominant treatment for Lambert-Eaton myasthenic syndrome (LEMS) with limited competition in this rare disease indication, and AGAMREE is the only approved corticosteroid for Duchenne muscular dystrophy (DMD) — both products hold category-leading positions in their respective rare disease markets [1]. Pipeline (1/2): Management has evaluated over 100 acquisition targets for near-term accretive rare disease assets, but the internal R&amp;D pipeline is thin — FIRDAPSE and AGAMREE lifecycle management programs are the primary development focus, with no new internally developed molecules disclosed [1]. R&amp;D Intensity (1/1): R&amp;D spending is meaningful relative to the company's size, focused on lifecycle management and potential new indications for existing drugs.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Catalyst's stated purpose — 'to improve the lives of people living with rare and difficult-to-treat conditions' — is specific, thoughtful, and clearly shapes strategic decisions [2]. Every product acquisition and development program aligns with serving underserved rare disease patient populations. The mission connects the company's work to a larger purpose (helping patients with few treatment options) and differentiates from peers. Community Impact (1/2): Catalyst's ESG report details patient access programs for FIRDAPSE and AGAMREE, Scope 1/2 emissions reporting, and TCFD-aligned climate risk assessment [3]. The company provides patient support services for rare disease communities. However, historical criticism of FIRDAPSE pricing ($80,000/year for a previously available compound) complicates the community impact narrative [3]. Employee Retention (1/2): The company has approximately 200 employees with CEO Richard Daly appointed January 2024 after founder Patrick McEnany's retirement. The small team and specialized rare disease focus suggest mission alignment, but no specific retention data (tenure, turnover rates) was found. Insider Buying (1/2): No specific insider purchase data was identified in the last 12 months. The board includes a member with AI/oncology expertise (Ms. Harper, PreciseDx), suggesting strategic board composition, but insider buying signals were not evident.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Catalyst Pharmaceuticals exhibits exceptional financial metrics across nearly every dimension. D/E of 0.3% represents a virtually debt-free balance sheet with $690M cash on hand [1]. ROE of 25.5% far exceeds the 15% target, demonstrating superior capital efficiency for a company of this size. Profit margin of 36.4% reflects the high-value rare disease drug pricing model. Forward P/E of 9.1x is deeply undervalued for a company guiding to $615-645M revenue (7-10% growth) with 35.9% 5yr revenue CAGR [1]. Revenue growth of 7.6% TTM is below the 10% target but the full-year 2025 growth of 19.8% and promoted product guidance of 20%+ growth in 2026 indicate acceleration. Forward PEG estimated at ~0.5x based on expected EPS growth from $1.68 to ~$2.30+ in 2026. Liquidity floor cleared: 1.4M avg volume x $28.26 = $40.7M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Catalyst Pharmaceuticals has a genuine mission serving rare disease patients with few treatment options, validated by consistent strategic decisions — every product acquisition and development program aligns with rare disease communities. However, the FIRDAPSE pricing controversy and reliance on patent protections reflect finite-game thinking about maximizing extraction from a monopoly position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Catalyst's commitment to improving lives of people with rare and difficult-to-treat conditions is genuine and partially lived — the company has built its entire portfolio around underserved patient populations with LEMS, DMD, and epilepsy [2]. Founder Patrick McEnany received BioFlorida's Lifetime Achievement Award, validating decades of rare disease focus. However, the FIRDAPSE pricing controversy ($80,000/year for a previously available compound) creates tension between the mission and profit extraction [3]. Just Cause: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small size (~200 employees) and specialized rare disease focus likely create a cohesive team culture, with CEO Richard Daly bringing fresh leadership after founder McEnany's planned transition [2]. McEnany's continued involvement as Chairman provides institutional continuity. However, no specific evidence of exceptional trust, employee empowerment, or cultural practices was found — the organization is too small to generate public culture data. Trusting Teams: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Catalyst operates in orphan drug markets with limited direct competition for FIRDAPSE (LEMS) and AGAMREE (DMD). The company's competitive strategy relies on patent protections and orphan drug exclusivity rather than learning from rivals — when generic competition threatens (Hetero FIRDAPSE trial), the response is legal defense rather than innovation [1]. Worthy Rivals: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Catalyst has evolved from a single-product LEMS company to a three-product rare disease platform through the AGAMREE and FYCOMPA acquisitions, demonstrating willingness to expand the portfolio. The evaluation of over 100 acquisition targets shows active pursuit of growth beyond the core FIRDAPSE franchise [1]. However, the business model (acquire orphan drugs, commercialize with small salesforce, protect patents) has not fundamentally changed.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acquire AGAMREE and FYCOMPA while FIRDAPSE was still growing demonstrates capital allocation discipline and willingness to invest in portfolio diversification before it was strictly necessary [1]. The $690M cash balance reflects financial conservatism that enables future bold moves. However, no evidence of leadership sacrificing short-term results for long-term capability — the acquisitions were accretive transactions, not costly bets.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Catalyst Pharmaceuticals is a rare disease franchise with exceptional financial metrics — 36.4% profit margin, 25.5% ROE, virtually no debt (D/E 0.3%), and $690M cash on hand — trading at just 9.1x forward earnings [1][4]. The company delivered record 2025 revenue of $589M (up 19.8% YoY) and guides to $615-645M in 2026 with promoted product growth of 20%+ [1]. FIRDAPSE dominates the LEMS market and AGAMREE is scaling rapidly in DMD ($140-150M guided for 2026 from $82M in its first nine months). The company's rare disease focus provides durable competitive advantages: orphan drug exclusivity, small patient populations that deter generics, and deep physician relationships. With $690M cash and active evaluation of 100+ acquisition targets, Catalyst has firepower for portfolio expansion. At 9.1x forward P/E with a 35.9% 5yr revenue CAGR, the stock is materially undervalued relative to its growth profile and cash generation.</w:t>
      </w:r>
    </w:p>
    <w:p>
      <w:pPr>
        <w:spacing w:after="120"/>
      </w:pPr>
      <w:r>
        <w:rPr>
          <w:rFonts w:ascii="Calibri" w:hAnsi="Calibri"/>
          <w:b w:val="0"/>
          <w:color w:val="3A4A28"/>
          <w:sz w:val="20"/>
        </w:rPr>
        <w:t>The primary risk is FIRDAPSE concentration and generic threat. FIRDAPSE represents approximately 70% of revenue ($435-450M guided for 2026), creating single-product dependency [1]. The Hetero generic trial scheduled for March 2026 could invalidate patent settlements expiring in 2035, potentially introducing generic competition years earlier and collapsing FIRDAPSE revenue. The historical FIRDAPSE pricing controversy — charging $80,000/year for a compound previously available at a fraction of the cost — creates ongoing reputational and political risk, particularly as drug pricing scrutiny intensifies [3]. Revenue growth is decelerating from 19.8% in 2025 to guided 7-10% in 2026 (though promoted products grow 20%+), and EPS growth was negative on a TTM basis (-6.4%). The thin internal R&amp;D pipeline means growth depends on acquisitions rather than organic innovation, creating execution and integration risk. CEO Daly is relatively new (appointed January 2024) and the strategic direction post-McEnany remains uncertain. FYCOMPA faces patent expiration pressure that could erode its $40-45M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AGAMREE commercial ramp to $140-150M in 2026 (up from $82M in first nine months) driven by Duchenne muscular dystrophy market penetration and international expansion [1]</w:t>
      </w:r>
    </w:p>
    <w:p>
      <w:pPr>
        <w:spacing w:before="40" w:after="40"/>
        <w:ind w:left="283"/>
      </w:pPr>
      <w:r>
        <w:rPr>
          <w:rFonts w:ascii="Calibri" w:hAnsi="Calibri"/>
          <w:b/>
          <w:color w:val="4A6B25"/>
          <w:sz w:val="20"/>
        </w:rPr>
        <w:t xml:space="preserve">2. </w:t>
      </w:r>
      <w:r>
        <w:rPr>
          <w:rFonts w:ascii="Calibri" w:hAnsi="Calibri"/>
          <w:b w:val="0"/>
          <w:color w:val="3A4A28"/>
          <w:sz w:val="20"/>
        </w:rPr>
        <w:t>Portfolio expansion through acquisition of near-term accretive rare disease assets from the 100+ targets evaluated, funded by $690M cash balance [1]</w:t>
      </w:r>
    </w:p>
    <w:p>
      <w:pPr>
        <w:spacing w:before="40" w:after="40"/>
        <w:ind w:left="283"/>
      </w:pPr>
      <w:r>
        <w:rPr>
          <w:rFonts w:ascii="Calibri" w:hAnsi="Calibri"/>
          <w:b/>
          <w:color w:val="4A6B25"/>
          <w:sz w:val="20"/>
        </w:rPr>
        <w:t xml:space="preserve">3. </w:t>
      </w:r>
      <w:r>
        <w:rPr>
          <w:rFonts w:ascii="Calibri" w:hAnsi="Calibri"/>
          <w:b w:val="0"/>
          <w:color w:val="3A4A28"/>
          <w:sz w:val="20"/>
        </w:rPr>
        <w:t>Deep value at 9.1x forward P/E with 36.4% profit margin, 25.5% ROE, and virtually no debt — re-rating potential as market recognizes the quality of the rare disease franchise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FIRDAPSE generic threat — Hetero trial could invalidate 2035 patent settlements and introduce generic competition years earlier, jeopardizing ~70% of revenue ($435-450M) [1]</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 FIRDAPSE dominance creates binary risk; any adverse patent, regulatory, or competitive development would disproportionately impact the entire company [1]</w:t>
      </w:r>
    </w:p>
    <w:p>
      <w:pPr>
        <w:spacing w:before="40" w:after="40"/>
        <w:ind w:left="283"/>
      </w:pPr>
      <w:r>
        <w:rPr>
          <w:rFonts w:ascii="Calibri" w:hAnsi="Calibri"/>
          <w:b/>
          <w:color w:val="4A6B25"/>
          <w:sz w:val="20"/>
        </w:rPr>
        <w:t xml:space="preserve">3. </w:t>
      </w:r>
      <w:r>
        <w:rPr>
          <w:rFonts w:ascii="Calibri" w:hAnsi="Calibri"/>
          <w:b w:val="0"/>
          <w:color w:val="3A4A28"/>
          <w:sz w:val="20"/>
        </w:rPr>
        <w:t>Drug pricing scrutiny — FIRDAPSE's history of pricing a previously available compound at $80,000/year creates political and reputational risk as pricing reform gains momentum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Rare disease pharmaceuticals are among the most AI-immune business models. FIRDAPSE and AGAMREE treat severe neurological/neuromuscular conditions that require FDA-approved, clinically validated drug therapies — AI cannot substitute for physical drug molecules, regulatory approval processes, or specialty pharmacy distribution [2]. The rare disease market is protected by orphan drug exclusivity, patent protections, small patient populations that deter generic competition, and deep physician relationships. AI-driven drug discovery may accelerate pipeline development in the long term but poses zero substitution risk to Catalyst's existing commercial products. AI Opportunity (0/1): Catalyst does not generate revenue from AI products or services. The company is a traditional pharmaceutical manufacturer with no deployed AI capabilities generating measurable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Catalyst Pharmaceuticals Record Q4/FY2025 Earnings Release — $589M revenue, 19.8% growth, 2026 guidance $615-645M, February 25, 2026</w:t>
      </w:r>
    </w:p>
    <w:p>
      <w:pPr>
        <w:spacing w:before="20" w:after="20"/>
        <w:ind w:left="170"/>
      </w:pPr>
      <w:r>
        <w:rPr>
          <w:rFonts w:ascii="Calibri" w:hAnsi="Calibri"/>
          <w:b/>
          <w:color w:val="4A6B25"/>
          <w:sz w:val="15"/>
        </w:rPr>
        <w:t xml:space="preserve">2. </w:t>
      </w:r>
      <w:r>
        <w:rPr>
          <w:rFonts w:ascii="Calibri" w:hAnsi="Calibri"/>
          <w:b w:val="0"/>
          <w:color w:val="3A4A28"/>
          <w:sz w:val="17"/>
        </w:rPr>
        <w:t>Catalyst Pharmaceuticals Leadership — CEO Richard Daly, Chairman Patrick McEnany, mission statement, BioFlorida Lifetime Achievement Award</w:t>
      </w:r>
    </w:p>
    <w:p>
      <w:pPr>
        <w:spacing w:before="20" w:after="20"/>
        <w:ind w:left="170"/>
      </w:pPr>
      <w:r>
        <w:rPr>
          <w:rFonts w:ascii="Calibri" w:hAnsi="Calibri"/>
          <w:b/>
          <w:color w:val="4A6B25"/>
          <w:sz w:val="15"/>
        </w:rPr>
        <w:t xml:space="preserve">3. </w:t>
      </w:r>
      <w:r>
        <w:rPr>
          <w:rFonts w:ascii="Calibri" w:hAnsi="Calibri"/>
          <w:b w:val="0"/>
          <w:color w:val="3A4A28"/>
          <w:sz w:val="17"/>
        </w:rPr>
        <w:t>Catalyst Pharmaceuticals ESG Report 2024 — patient access programs, FIRDAPSE pricing controversy, Scope 1/2 emissions, TCFD alignment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CPRX (Catalyst Pharmaceuticals),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