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CPT</w:t>
      </w:r>
      <w:r>
        <w:rPr>
          <w:rFonts w:ascii="Calibri" w:hAnsi="Calibri"/>
          <w:b/>
          <w:color w:val="1A2010"/>
          <w:sz w:val="40"/>
        </w:rPr>
        <w:t xml:space="preserve">  Camden Property Trust</w:t>
      </w:r>
    </w:p>
    <w:p>
      <w:pPr>
        <w:spacing w:after="120"/>
      </w:pPr>
      <w:r>
        <w:rPr>
          <w:rFonts w:ascii="Calibri" w:hAnsi="Calibri"/>
          <w:b/>
          <w:color w:val="6E8450"/>
          <w:sz w:val="18"/>
        </w:rPr>
        <w:t>DIVIDEND SLEEVE · 2026-05-01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Camden Property Trust is an S&amp;P 500 real estate investment trust primarily engaged in the ownership, management, development, redevelopment, acquisition, and construction of multifamily apartment communities. Camden owns and operates 172 properties containing 58,759 apartment homes across the United States, with 3 properties under development that will expand the portfolio to 59,921 units in 175 properties.</w:t>
      </w:r>
    </w:p>
    <w:p>
      <w:r>
        <w:rPr>
          <w:rFonts w:ascii="Calibri" w:hAnsi="Calibri"/>
          <w:b/>
          <w:color w:val="6E8450"/>
          <w:sz w:val="18"/>
        </w:rPr>
        <w:t>1,640 Employees · https://www.camdenliving.com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 point — Camden has steadily expanded its Sunbelt-focused portfolio through disciplined development and redevelopment, growing to 172 properties with 58,759 apartment homes, with 3 properties currently under construction adding ~1,162 units [1]. This represents consistent execution but incremental growth, not transformative reinvention. AI Deployment: 1 point — Camden has deployed AI for tenant screening (analyzing applications, credit scores, rental histories), predictive maintenance (forecasting equipment failures from historical data), and operational efficiency across its portfolio, though specific cost savings are not quantified [2]. Market Share Leadership: 1 point — Camden is a significant multifamily REIT in the S&amp;P 500 with $10.6B market cap and a Sunbelt-focused strategy across high-growth markets, though it is one of several major apartment REITs (AvalonBay, Equity Residential, MAA) without dominant market share [1]. Product Pipeline: 1 point — 3 communities under development will add ~1,162 units, providing near-term growth visibility, though the pipeline is modest relative to the 58,759-unit existing portfolio [1]. R&amp;D Intensity: 0 points — REITs do not have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points — Camden's purpose centers on creating exceptional living experiences and building thriving communities, a clear mission that connects the company's work to enriching residents' lives, though not distinctive enough to differentiate from peer apartment REITs [2]. Community &amp; Charitable Impact: 1 point — Camden's corporate responsibility program includes community service initiatives and environmental sustainability commitments, with the company reporting ESG progress on energy reduction, waste diversion, and water conservation [3]. Employee Retention: 2 points — Camden is consistently ranked among Fortune's 100 Best Companies to Work For, maintains a 4.5/5 Glassdoor rating with 93% of employees recommending the company to friends and 89% expressing positive business outlook [2]. CEO Ric Campo's founding tenure since 1993 has created a leadership-driven culture of trust and empowerment. Insider Buying: 0 points — no specific insider buying data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($124M daily value traded). D/E of 103.5% is moderate for a REIT, which typically uses leverage to finance property acquisitions [4]. ROE of 9.1% and profit margin of 24.5% reflect solid REIT operations, though ROE is below the 15% target [1]. Revenue was essentially flat YoY (-0.8%) with Q1 2026 revenue of $390.9M, and management guides 2026 same-property revenue growth of just 0.75% as Austin and Denver markets face supply headwinds [1]. Forward P/E of 75.5x is heavily distorted by GAAP depreciation charges typical of REITs — Core FFO per share of $6.75 (midpoint) represents a more meaningful 15.6x FFO multiple. Payout ratio of 118.6% exceeds earnings due to REIT depreciation accounting but is well-covered by FFO. Dividend history is strong: 33 consecutive years of payments since 1993 with 4 consecutive years of growth, though 5yr CAGR of 4.8% is moderate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Camden exhibits many hallmarks of an infinite-game company: a founder-CEO (Ric Campo) whose 30+ year tenure has provided consistent strategic direction, an organizational culture consistently ranked among the best in America (Fortune 100 Best Companies), and 33 consecutive years of dividend payments demonstrating commitment to long-term stakeholder value. The $53M antitrust settlement over alleged rent-fixing through algorithmic pricing software is a meaningful blemish, but the company's cultural foundation and leadership continuity suggest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2 points — Camden's purpose of creating exceptional living communities has been validated by three decades of execution under founder Ric Campo's leadership. The company's focus on resident experience and community-building goes beyond pure financial optimization — evidenced by consistent recognition as a top employer and Camden's investment in community amenities and services that prioritize resident quality of life [2]. The cause is genuine and partially lived, though it has not been tested through a truly existential crisis that would demonstrate transformative commitment.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2 points — Exceptional evidence of a high-trust organization. Camden has been named to Fortune's 100 Best Companies to Work For list repeatedly, maintains a 4.5/5 Glassdoor rating with 93% of employees recommending the company to friends, and employees describe the culture as 'welcoming, helpful, and love to have fun' with a 'perfect balance of professionalism' [2]. Ric Campo's leadership philosophy of 'give people the resources and authority to get things done, then get out of the way' reflects genuine empowerment. This is one of the strongest Trusting Teams scores in the IOWN universe.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Camden's management acknowledges the competitive multifamily landscape constructively, discussing peer REITs like AvalonBay, Equity Residential, and MAA in terms of market positioning and strategic differences rather than zero-sum language [1]. The company's focus on Sunbelt markets reflects a strategic choice informed by competitive dynamics rather than an attempt to dominate all markets.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Camden has operated the same fundamental business model since its 1993 founding: owning and managing multifamily apartment communities. While the geographic focus has evolved toward Sunbelt markets, the company has not demonstrated the kind of transformative strategic pivot that Sinek's framework rewards. The REIT structure itself constrains flexibility — REITs must distribute 90%+ of taxable income and are limited in the types of businesses they can operate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Camden continued investing in development through multiple market cycles, maintaining its pipeline even during periods of elevated construction costs and interest rates. The company maintained dividends through the 2008-2009 financial crisis (though reduced from $2.80 to $2.05) and has grown them every year since 2022 [4]. However, the $53M antitrust settlement over alleged use of algorithmic pricing software (RealPage) to coordinate rents represents a failure of ethical leadership that partially offsets the positive track record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Camden Property Trust offers a high-quality, Sunbelt-focused multifamily portfolio backed by one of the best corporate cultures in corporate America (Fortune 100 Best Companies, Glassdoor 4.5/5) and a 33-year track record of uninterrupted dividends at a 4.04% yield [1][2]. Core FFO of $6.75/share (midpoint) translates to a more meaningful 15.6x FFO multiple, and the company's exposure to high-growth Sunbelt markets (Houston, Dallas, Phoenix, Nashville, Tampa) positions it to benefit from continued population migration and AI-driven tech employment growth in these metros. The CEO succession from Ric Campo to Alex Jessett ensures leadership continuity.</w:t>
      </w:r>
    </w:p>
    <w:p>
      <w:pPr>
        <w:spacing w:after="120"/>
      </w:pPr>
      <w:r>
        <w:rPr>
          <w:rFonts w:ascii="Calibri" w:hAnsi="Calibri"/>
          <w:b w:val="0"/>
          <w:color w:val="3A4A28"/>
          <w:sz w:val="20"/>
        </w:rPr>
        <w:t>The bear case centers on near-term growth headwinds and legal risk. 2026 Core FFO guidance of $6.60-$6.90 represents a $0.13/share decrease from 2025, with same-store NOI expected to decline 50bps as elevated new apartment supply in Austin and Denver pressures rents and occupancy [1]. The $53M antitrust settlement over alleged algorithmic rent coordination through RealPage software raises governance questions and potential for further legal exposure. The GAAP payout ratio of 119% exceeds earnings (though covered by FFO), and D/E of 103.5% creates interest rate sensitivity in a higher-for-longer rate environment. Revenue growth of -0.8% YoY and guided 0.75% same-property revenue growth indicate the company is in a no-growth holding pattern until supply absorption improves.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Sunbelt apartment supply wave expected to peak in 2026 and decline sharply in 2027-2028, which should improve pricing power and occupancy across Camden's core markets</w:t>
      </w:r>
    </w:p>
    <w:p>
      <w:pPr>
        <w:spacing w:before="40" w:after="40"/>
        <w:ind w:left="283"/>
      </w:pPr>
      <w:r>
        <w:rPr>
          <w:rFonts w:ascii="Calibri" w:hAnsi="Calibri"/>
          <w:b/>
          <w:color w:val="4A6B25"/>
          <w:sz w:val="20"/>
        </w:rPr>
        <w:t xml:space="preserve">2. </w:t>
      </w:r>
      <w:r>
        <w:rPr>
          <w:rFonts w:ascii="Calibri" w:hAnsi="Calibri"/>
          <w:b w:val="0"/>
          <w:color w:val="3A4A28"/>
          <w:sz w:val="20"/>
        </w:rPr>
        <w:t>AI-driven employment growth in technology hubs (Dallas, Houston, Phoenix, Nashville) could accelerate population migration to Camden's Sunbelt markets, boosting apartment demand</w:t>
      </w:r>
    </w:p>
    <w:p>
      <w:pPr>
        <w:spacing w:before="40" w:after="40"/>
        <w:ind w:left="283"/>
      </w:pPr>
      <w:r>
        <w:rPr>
          <w:rFonts w:ascii="Calibri" w:hAnsi="Calibri"/>
          <w:b/>
          <w:color w:val="4A6B25"/>
          <w:sz w:val="20"/>
        </w:rPr>
        <w:t xml:space="preserve">3. </w:t>
      </w:r>
      <w:r>
        <w:rPr>
          <w:rFonts w:ascii="Calibri" w:hAnsi="Calibri"/>
          <w:b w:val="0"/>
          <w:color w:val="3A4A28"/>
          <w:sz w:val="20"/>
        </w:rPr>
        <w:t>CEO succession to Alex Jessett provides leadership continuity while potentially bringing fresh strategic perspective to development and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apartment supply deliveries in Austin (-2.5% rent declines expected) and Denver are pressuring rents and occupancy, contributing to guided 50bps same-store NOI decline in 2026</w:t>
      </w:r>
    </w:p>
    <w:p>
      <w:pPr>
        <w:spacing w:before="40" w:after="40"/>
        <w:ind w:left="283"/>
      </w:pPr>
      <w:r>
        <w:rPr>
          <w:rFonts w:ascii="Calibri" w:hAnsi="Calibri"/>
          <w:b/>
          <w:color w:val="4A6B25"/>
          <w:sz w:val="20"/>
        </w:rPr>
        <w:t xml:space="preserve">2. </w:t>
      </w:r>
      <w:r>
        <w:rPr>
          <w:rFonts w:ascii="Calibri" w:hAnsi="Calibri"/>
          <w:b w:val="0"/>
          <w:color w:val="3A4A28"/>
          <w:sz w:val="20"/>
        </w:rPr>
        <w:t>The $53M antitrust settlement over alleged use of RealPage algorithmic pricing to coordinate rents creates reputational risk and potential for additional legal exposure from ongoing litigation</w:t>
      </w:r>
    </w:p>
    <w:p>
      <w:pPr>
        <w:spacing w:before="40" w:after="40"/>
        <w:ind w:left="283"/>
      </w:pPr>
      <w:r>
        <w:rPr>
          <w:rFonts w:ascii="Calibri" w:hAnsi="Calibri"/>
          <w:b/>
          <w:color w:val="4A6B25"/>
          <w:sz w:val="20"/>
        </w:rPr>
        <w:t xml:space="preserve">3. </w:t>
      </w:r>
      <w:r>
        <w:rPr>
          <w:rFonts w:ascii="Calibri" w:hAnsi="Calibri"/>
          <w:b w:val="0"/>
          <w:color w:val="3A4A28"/>
          <w:sz w:val="20"/>
        </w:rPr>
        <w:t>Higher-for-longer interest rates increase financing costs on Camden's $5.4B debt load (103.5% D/E), compressing FFO growth and reducing the attractiveness of the 4% yield relative to risk-free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 points — Camden Property Trust owns and operates physical apartment buildings — AI cannot replace the fundamental need for housing. Multifamily real estate is structurally immune to AI disruption: people require physical living spaces, and the ownership of real property behind regulatory and capital barriers makes this business model impervious to digital substitution [1]. AI actually serves as a tailwind: growing AI infrastructure demand drives employment growth in Camden's Sunbelt markets (Dallas, Houston, Phoenix, Nashville), increasing apartment demand near technology hubs. Camden has also adopted AI as an operational enabler for tenant screening, predictive maintenance, and property management efficiency [2]. AI Opportunity: 0 points — while Camden uses AI operationally, it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Camden Property Trust Q1 2026 Operating Results, April 2026</w:t>
      </w:r>
    </w:p>
    <w:p>
      <w:pPr>
        <w:spacing w:before="20" w:after="20"/>
        <w:ind w:left="170"/>
      </w:pPr>
      <w:r>
        <w:rPr>
          <w:rFonts w:ascii="Calibri" w:hAnsi="Calibri"/>
          <w:b/>
          <w:color w:val="4A6B25"/>
          <w:sz w:val="15"/>
        </w:rPr>
        <w:t xml:space="preserve">2. </w:t>
      </w:r>
      <w:r>
        <w:rPr>
          <w:rFonts w:ascii="Calibri" w:hAnsi="Calibri"/>
          <w:b w:val="0"/>
          <w:color w:val="3A4A28"/>
          <w:sz w:val="17"/>
        </w:rPr>
        <w:t>Camden Property Trust Glassdoor reviews and leadership profiles,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Camden Property Trust Corporate Responsibility and ESG reports,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CPT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