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CRBG</w:t>
      </w:r>
      <w:r>
        <w:rPr>
          <w:rFonts w:ascii="Calibri" w:hAnsi="Calibri"/>
          <w:b/>
          <w:color w:val="1A2010"/>
          <w:sz w:val="40"/>
        </w:rPr>
        <w:t xml:space="preserve">  Corebridge Financial, Inc.</w:t>
      </w:r>
    </w:p>
    <w:p>
      <w:pPr>
        <w:spacing w:after="120"/>
      </w:pPr>
      <w:r>
        <w:rPr>
          <w:rFonts w:ascii="Calibri" w:hAnsi="Calibri"/>
          <w:b/>
          <w:color w:val="6E8450"/>
          <w:sz w:val="18"/>
        </w:rPr>
        <w:t>GROWTH SLEEVE · 2026-04-02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Corebridge Financial is one of the largest providers of retirement solutions and insurance products in the United States, with $385 billion in assets under management and administration. Spun off from AIG in 2022, the company offers annuities, life insurance, retirement plans, and wealth management services. Formerly known as AIG Life &amp; Retirement.</w:t>
      </w:r>
    </w:p>
    <w:p>
      <w:r>
        <w:rPr>
          <w:rFonts w:ascii="Calibri" w:hAnsi="Calibri"/>
          <w:b/>
          <w:color w:val="6E8450"/>
          <w:sz w:val="18"/>
        </w:rPr>
        <w:t>6,400 Employees · https://www.corebridgefinancial.com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Corebridge successfully executed a complex separation from AIG, completed major variable annuity reinsurance transactions, and sold SunAmerica Asset Management to Venerable Holdings in January 2026 to streamline toward core retirement solutions [1]. These are strategic restructuring moves, not product innovation. AI Deployment (0/2): No AI-powered products or quantified AI-driven efficiencies disclosed. Former parent AIG is partnering with Anthropic and Palantir for AI underwriting, but Corebridge has not announced similar initiatives post-separation [2]. Market Share (1/2): One of the largest US annuity and retirement providers with $385B AUM and record $42B in annual product sales across annuities, life insurance, and retirement plans [1]. Pipeline (1/2): RILA (registered index-linked annuity) product is growing with 13% premium increase, and the company is positioning around simpler, capital-light retirement products post-VA reinsurance [1]. R&amp;D Intensity (0/1): Insurance/financial services with minimal R&amp;D spend; product development is distribution and actuarial-driven rather than research-intensive.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Corebridge's stated purpose centers on helping people 'protect, grow and secure their wealth' — a functional but generic financial services mission interchangeable with dozens of peers [3]. No articulated vision of a better future state beyond standard retirement security messaging. Community Impact (0/2): No evidence of distinctive charitable programs or community investment beyond standard corporate philanthropy. The company targets carbon neutrality by 2025 and launched ESG-focused insurance products, but no specific dollar amounts or unique community programs were found [3]. Employee Retention (0/2): Only 43% of Glassdoor reviewers recommend Corebridge to a friend — well below industry averages. Employees cite outsourcing to offshore vendors, lack of internal promotion, and concern about leadership instability with goals changing 'every 18 months' [2]. Insider Buying (1/2): The company returned $2.6B to shareholders in 2025 at a 110% payout ratio including $2.1B in buybacks, signaling corporate-level conviction [1]. However, no specific executive insider buying transactions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Corebridge reported Q4 2025 revenues of $6.34B (up 35.7% YoY) and full-year adjusted ATOI of $2.4B with operating EPS of $4.42 [1]. Forward P/E of 4.09 based on forward EPS of $5.90 signals deep value or market skepticism. GAAP metrics are distorted by insurance accounting: profit margin of -1.97% and ROE of -2.97% reflect mark-to-market investment losses and restructuring, not operational weakness — the adjusted operating ROE and margins are significantly better [1]. D/E of 110.9% is moderate for an insurance company. Revenue growth of 5.7% YoY is below the 10% target. Liquidity floor passes easily: 4.4M avg volume × $24.13 = $107M [4]. The company's GAAP financial presentation penalizes Infrastructure scoring despite strong underlying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Corebridge Financial operates as a financially-engineered vehicle focused on shareholder returns (110% payout ratio), cost optimization, and strategic divestitures rather than an enduring purpose. The 43% Glassdoor recommendation rate and employee complaints about constant strategic pivots and outsourcing suggest a low-trust organization playing a finite game focused on quarterly capital return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Corebridge's purpose — helping people secure retirement — is socially valuable but articulated generically. The company's actions (variable annuity reinsurance, asset management divestiture, massive buybacks) are driven by financial engineering and capital efficiency rather than a Just Cause that inspires sacrifice [1]. CEO Costantini's emphasis on 'record $42B in sales' frames success in transactional terms, not in terms of customer lives transformed.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Only 43% of Glassdoor reviewers recommend Corebridge — a troubling signal of low organizational trust [2]. Employees describe goals changing 'every 18 months,' outsourcing to offshore vendors where existing staff must train their replacements, and characterize leadership as 'manipulative' and 'insincere.' The 3.0/5 career opportunities rating and high leadership turnover (3.1 year average tenure) suggest a low-trust environment where people protect themselves rather than advance a cause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Corebridge framing competition in infinite game terms. The company's competitive positioning focuses on market share ('record $42B in sales'), scale ('$385B AUM'), and being 'the best in the biz' in analyst coverage — finite competitive language oriented around winning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Corebridge demonstrated meaningful strategic flexibility by reinsuring its variable annuity block and selling SunAmerica Asset Management in January 2026, deliberately exiting complex, capital-heavy businesses to focus on simpler retirement products [1]. This is an incremental pivot — simplifying the business model rather than transforming it — but shows willingness to abandon profitable-but-misaligned business lines for long-term strategic clarity.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Marc Costantini (appointed December 2025) inherits a company that made courageous capital allocation decisions — returning $2.6B to shareholders at a 110% payout ratio while simultaneously executing major strategic divestitures [1]. The variable annuity reinsurance and asset management sale required accepting near-term complexity for long-term simplification. However, these decisions were initiated before Costantini's tenure, and it remains to be seen whether the new leadership will demonstrate similar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Corebridge Financial trades at a strikingly low 4.1x forward earnings for one of the largest US retirement solutions providers with $385B AUM and record $42B in annual product sales [1]. The company generated adjusted ATOI of $2.4B in 2025, returned $2.6B to shareholders (110% payout ratio including $2.1B buybacks), and is simplifying its business model by exiting variable annuities and asset management. The 4.02% dividend yield with consecutive increases signals income appeal. AIG's stake reduction to ~5% removes the overhang of forced selling and positions Corebridge as a fully independent company. Q4 2025 revenue surged 35.7% YoY, and the RILA product line is growing 13% [1].</w:t>
      </w:r>
    </w:p>
    <w:p>
      <w:pPr>
        <w:spacing w:after="120"/>
      </w:pPr>
      <w:r>
        <w:rPr>
          <w:rFonts w:ascii="Calibri" w:hAnsi="Calibri"/>
          <w:b w:val="0"/>
          <w:color w:val="3A4A28"/>
          <w:sz w:val="20"/>
        </w:rPr>
        <w:t>The bear case centers on GAAP financial opacity and cultural dysfunction. GAAP profit margin of -1.97% and ROE of -2.97% obscure the underlying economics, making it difficult for investors to assess true earnings quality [4]. The 43% Glassdoor recommendation rate — among the lowest in financial services — signals deep cultural issues including outsourcing, leadership instability, and a lack of employee trust [2]. CEO Marc Costantini is Corebridge's third CEO in four years as a public company, creating strategic continuity risk. The insurance industry faces secular pressure from rising interest rate volatility, potential annuity regulation changes, and insurtech disruption. Revenue growth of 5.7% is modest for a company trading at such a low multiple, suggesting the market sees structural challenges. The $2.6B shareholder return at 110% payout ratio may not be sustainable if adjusted earnings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AIG separation — reduction to ~5% stake eliminates forced selling overhang and enables fully independent governance and strategic decision-making [3]</w:t>
      </w:r>
    </w:p>
    <w:p>
      <w:pPr>
        <w:spacing w:before="40" w:after="40"/>
        <w:ind w:left="283"/>
      </w:pPr>
      <w:r>
        <w:rPr>
          <w:rFonts w:ascii="Calibri" w:hAnsi="Calibri"/>
          <w:b/>
          <w:color w:val="4A6B25"/>
          <w:sz w:val="20"/>
        </w:rPr>
        <w:t xml:space="preserve">2. </w:t>
      </w:r>
      <w:r>
        <w:rPr>
          <w:rFonts w:ascii="Calibri" w:hAnsi="Calibri"/>
          <w:b w:val="0"/>
          <w:color w:val="3A4A28"/>
          <w:sz w:val="20"/>
        </w:rPr>
        <w:t>Simplified business model post-VA reinsurance and SunAmerica divestiture, focusing on capital-light retirement products with more predictable earnings streams [1]</w:t>
      </w:r>
    </w:p>
    <w:p>
      <w:pPr>
        <w:spacing w:before="40" w:after="40"/>
        <w:ind w:left="283"/>
      </w:pPr>
      <w:r>
        <w:rPr>
          <w:rFonts w:ascii="Calibri" w:hAnsi="Calibri"/>
          <w:b/>
          <w:color w:val="4A6B25"/>
          <w:sz w:val="20"/>
        </w:rPr>
        <w:t xml:space="preserve">3. </w:t>
      </w:r>
      <w:r>
        <w:rPr>
          <w:rFonts w:ascii="Calibri" w:hAnsi="Calibri"/>
          <w:b w:val="0"/>
          <w:color w:val="3A4A28"/>
          <w:sz w:val="20"/>
        </w:rPr>
        <w:t>RILA product growth at 13% premiums increase, positioning Corebridge in the fastest-growing annuity category as baby boomers enter peak retirement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Cultural dysfunction — 43% Glassdoor recommendation rate, outsourcing concerns, and leadership instability with three CEOs in four years threaten operational execution and talent retention [2]</w:t>
      </w:r>
    </w:p>
    <w:p>
      <w:pPr>
        <w:spacing w:before="40" w:after="40"/>
        <w:ind w:left="283"/>
      </w:pPr>
      <w:r>
        <w:rPr>
          <w:rFonts w:ascii="Calibri" w:hAnsi="Calibri"/>
          <w:b/>
          <w:color w:val="4A6B25"/>
          <w:sz w:val="20"/>
        </w:rPr>
        <w:t xml:space="preserve">2. </w:t>
      </w:r>
      <w:r>
        <w:rPr>
          <w:rFonts w:ascii="Calibri" w:hAnsi="Calibri"/>
          <w:b w:val="0"/>
          <w:color w:val="3A4A28"/>
          <w:sz w:val="20"/>
        </w:rPr>
        <w:t>GAAP earnings opacity — insurance accounting makes it difficult to assess true earnings quality; GAAP profit margin and ROE are negative despite strong adjusted metrics, creating investor uncertainty [4]</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annuity product economics are highly sensitive to rate movements; a prolonged rate decline could compress spreads and reduce the attractiveness of fixed annuity products relative to alternatives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Corebridge's core business — selling annuities, life insurance, and retirement plans — operates within a heavily regulated insurance framework that AI cannot easily disrupt. Annuity products require state-by-state regulatory approval, actuarial modeling, capital reserve requirements, and licensed distribution networks that create structural barriers [1]. However, insurtech companies are exploring AI-driven underwriting and distribution that could pressure traditional insurance margins over time, and Corebridge's advisory network faces some displacement risk from AI financial planning tools. AI Opportunity (1/1): Former parent AIG is actively deploying AI for underwriting via partnerships with Anthropic and Palantir, and the broader insurance industry is adopting AI for claims processing and risk assessment [2]. Corebridge's data-rich $385B AUM platform provides a foundation for AI-driven product recommendations and customer service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Corebridge Financial Q4 and Full Year 2025 Results — $2.4B adjusted ATOI, $42B record sales, 110% shareholder payout,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43% recommend, 3.3 culture rating; CEO Marc Costantini appointment December 2025; AIG AI partnerships with Anthropic/Palantir</w:t>
      </w:r>
    </w:p>
    <w:p>
      <w:pPr>
        <w:spacing w:before="20" w:after="20"/>
        <w:ind w:left="170"/>
      </w:pPr>
      <w:r>
        <w:rPr>
          <w:rFonts w:ascii="Calibri" w:hAnsi="Calibri"/>
          <w:b/>
          <w:color w:val="4A6B25"/>
          <w:sz w:val="15"/>
        </w:rPr>
        <w:t xml:space="preserve">3. </w:t>
      </w:r>
      <w:r>
        <w:rPr>
          <w:rFonts w:ascii="Calibri" w:hAnsi="Calibri"/>
          <w:b w:val="0"/>
          <w:color w:val="3A4A28"/>
          <w:sz w:val="17"/>
        </w:rPr>
        <w:t>Corebridge Financial corporate website, Wikipedia — AIG separation, ESG commitments, carbon neutrality target,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CRBG key statistics, Forward P/E 4.09,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