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CRBU</w:t>
      </w:r>
      <w:r>
        <w:rPr>
          <w:rFonts w:ascii="Calibri" w:hAnsi="Calibri"/>
          <w:b/>
          <w:color w:val="1A2010"/>
          <w:sz w:val="40"/>
        </w:rPr>
        <w:t xml:space="preserve">  Caribou Biosciences, Inc.</w:t>
      </w:r>
    </w:p>
    <w:p>
      <w:pPr>
        <w:spacing w:after="120"/>
      </w:pPr>
      <w:r>
        <w:rPr>
          <w:rFonts w:ascii="Calibri" w:hAnsi="Calibri"/>
          <w:b/>
          <w:color w:val="6E8450"/>
          <w:sz w:val="18"/>
        </w:rPr>
        <w:t>GROWTH SLEEVE · 2026-05-01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Caribou Biosciences is a clinical-stage CRISPR genome-editing biopharmaceutical company developing off-the-shelf, allogeneic CAR-T and NK cell therapies using its proprietary chRDNA technology platform for patients with devastating diseases including hematologic malignancies.</w:t>
      </w:r>
    </w:p>
    <w:p>
      <w:r>
        <w:rPr>
          <w:rFonts w:ascii="Calibri" w:hAnsi="Calibri"/>
          <w:b/>
          <w:color w:val="6E8450"/>
          <w:sz w:val="18"/>
        </w:rPr>
        <w:t>97 Employees · https://cariboubio.com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Caribou has advanced two allogeneic CAR-T candidates — vispacabtagene regedleucel (vipa-cel, anti-CD19) and CB-011 (anti-BCMA) — through Phase 1 clinical trials, representing meaningful progress for a 97-person company [1][2]. AI Deployment (0/2): No evidence of AI-powered drug discovery or AI-driven cost savings; the company relies on its proprietary chRDNA CRISPR platform rather than computational AI approaches. Market Share Leadership (1/2): Caribou is a recognized player in the allogeneic CAR-T space alongside Allogene and CRISPR Therapeutics, but has not achieved commercial-stage leadership [1]. Product Pipeline (1/2): Pipeline includes vipa-cel advancing toward pivotal trials and CB-011 in dose escalation, but timelines remain uncertain for a clinical-stage company with no approved products. R&amp;D Intensity (0/1): R&amp;D spend is high relative to revenue but this is standard for clinical-stage biotech, not differentiated versus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Caribou's mission to 'develop transformative therapies for patients with devastating diseases' using next-generation CRISPR technology is clear and specific to their work but not deeply distinctive from other biotech purpose statements [1]. Community &amp; Charitable Impact (0/2): No evidence of significant philanthropic programs or community investment beyond the inherent social value of developing cancer therapies. Employee Retention (1/2): Glassdoor reviews (3.5/5 stars, 57% recommend) show mixed sentiment — some employees praise the senior leadership team and scientific rigor, while others cite concerns about trust and middle management [3]. Insider Buying (1/2): Co-founder Rachel Haurwitz and other insiders have maintained positions, though no evidence of significant net insider buying in the past 12 months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CRBU's balance sheet is its only strength — D/E of 22% with $139M cash against $27M debt provides adequate runway [2]. However, the company is deeply unprofitable with -79% ROE, 0% profit margin, and negative operating cash flow of -$111M annually [2]. Revenue of $11.2M in FY2025 is entirely from licensing/collaboration agreements and declined from $34.5M in 2023, yielding a negative 3-year CAGR [1]. As a pre-revenue clinical-stage biotech, meaningful earnings and margins remain years away pending potential drug approvals. Liquidity passes the floor test at $2.6M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Caribou demonstrates genuine commitment to its CRISPR-based mission through consistent R&amp;D investment despite clinical-stage losses, but the company is too early-stage to have been tested through multiple market cycles or leadership transitions. The founding vision of democratizing genome editing through chRDNA technology is distinctive, though the Just Cause is narrowly defined around a single therapeutic modality.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Caribou's purpose — advancing allogeneic cell therapies to make CRISPR-based treatments accessible to more patients — is genuine and has guided consistent strategic decisions since founding in 2011 [1]. The vision of off-the-shelf cell therapies that eliminate the need for patient-specific manufacturing addresses a real accessibility gap in cancer treatment. However, the cause has not yet been tested through the crucible of commercial-stage challenges, leadership transitions, or sustained financial adversity.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reveal a mixed cultural picture — some employees praise senior leadership's strength and scientific mission focus, while others cite trust deficits at the executive level and concerns about middle management treatment of staff [3]. The 3.5/5 Glassdoor rating with only 57% recommending the company to a friend suggests adequate but not exceptional organizational trust for a small biotech.</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Caribou operates in a competitive allogeneic cell therapy landscape alongside Allogene Therapeutics and CRISPR Therapeutics, but no evidence was found of management acknowledging rivals' strengths as motivation for self-improvement. Competitive language focuses on Caribou's proprietary chRDNA advantage rather than learning from peer approaches.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Caribou has shown incremental strategic evolution, expanding from its original anti-CD19 CAR-T candidate to include anti-BCMA (CB-011) and NK cell therapy programs, demonstrating willingness to broaden the platform beyond initial applications [1]. However, no evidence of transformative strategic pivots — the company has pursued CRISPR-based allogeneic cell therapy since inception.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Caribou continues investing heavily in R&amp;D (~$111M annual cash burn) despite a $186M market cap, demonstrating willingness to sustain losses for long-term therapeutic development [2]. The company maintained its clinical programs through the biotech funding drought of 2023-2024 when many peers cut programs or pursued mergers. However, this perseverance is partly compelled by the clinical-stage business model rather than representing a discretionary courageous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Caribou Biosciences offers high-risk exposure to the next frontier of cancer immunotherapy through its proprietary chRDNA CRISPR platform, which enables off-the-shelf allogeneic CAR-T and NK cell therapies that could dramatically reduce the cost and expand access relative to autologous approaches like Novartis's Kymriah. With $139M in cash, a low D/E ratio of 22%, and two clinical-stage candidates (vipa-cel and CB-011) showing encouraging early data, the company has adequate runway to reach key clinical milestones that could trigger significant re-rating from the current $186M market cap [1][2].</w:t>
      </w:r>
    </w:p>
    <w:p>
      <w:pPr>
        <w:spacing w:after="120"/>
      </w:pPr>
      <w:r>
        <w:rPr>
          <w:rFonts w:ascii="Calibri" w:hAnsi="Calibri"/>
          <w:b w:val="0"/>
          <w:color w:val="3A4A28"/>
          <w:sz w:val="20"/>
        </w:rPr>
        <w:t>The bear case is substantial: CRBU is a pre-revenue, deeply unprofitable clinical-stage biotech burning ~$111M annually with only $139M in remaining cash, implying roughly 15 months of runway without additional dilutive capital raises [2]. The stock has declined 47% from its 52-week high of $3.54, and analyst consensus expects continued losses of ~$135M in 2026 [1]. Binary clinical trial risk is extreme — a single negative data readout could wipe out 50%+ of market value. Competition in allogeneic cell therapy is intensifying, and no company has yet achieved FDA approval for an off-the-shelf CAR-T product, raising questions about whether the entire modality will deliver on its promise.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Vipa-cel pivotal trial data readouts in relapsed/refractory B-cell NHL could validate the allogeneic CAR-T modality and trigger partnership or acquisition interest</w:t>
      </w:r>
    </w:p>
    <w:p>
      <w:pPr>
        <w:spacing w:before="40" w:after="40"/>
        <w:ind w:left="283"/>
      </w:pPr>
      <w:r>
        <w:rPr>
          <w:rFonts w:ascii="Calibri" w:hAnsi="Calibri"/>
          <w:b/>
          <w:color w:val="4A6B25"/>
          <w:sz w:val="20"/>
        </w:rPr>
        <w:t xml:space="preserve">2. </w:t>
      </w:r>
      <w:r>
        <w:rPr>
          <w:rFonts w:ascii="Calibri" w:hAnsi="Calibri"/>
          <w:b w:val="0"/>
          <w:color w:val="3A4A28"/>
          <w:sz w:val="20"/>
        </w:rPr>
        <w:t>CB-011 dose escalation results in multiple myeloma may demonstrate differentiated anti-BCMA activity with potential best-in-class profile</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 or licensing deal for ex-US rights could provide non-dilutive funding and validate the chRDNA platform's commercial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approximately 15 months at current burn rate necessitates dilutive capital raise or partnership, likely pressuring share price at sub-$200M market cap</w:t>
      </w:r>
    </w:p>
    <w:p>
      <w:pPr>
        <w:spacing w:before="40" w:after="40"/>
        <w:ind w:left="283"/>
      </w:pPr>
      <w:r>
        <w:rPr>
          <w:rFonts w:ascii="Calibri" w:hAnsi="Calibri"/>
          <w:b/>
          <w:color w:val="4A6B25"/>
          <w:sz w:val="20"/>
        </w:rPr>
        <w:t xml:space="preserve">2. </w:t>
      </w:r>
      <w:r>
        <w:rPr>
          <w:rFonts w:ascii="Calibri" w:hAnsi="Calibri"/>
          <w:b w:val="0"/>
          <w:color w:val="3A4A28"/>
          <w:sz w:val="20"/>
        </w:rPr>
        <w:t>Binary clinical risk in Phase 1 trials — any safety signal or lack of durable response in vipa-cel or CB-011 could be catastrophic for a single-platform company</w:t>
      </w:r>
    </w:p>
    <w:p>
      <w:pPr>
        <w:spacing w:before="40" w:after="40"/>
        <w:ind w:left="283"/>
      </w:pPr>
      <w:r>
        <w:rPr>
          <w:rFonts w:ascii="Calibri" w:hAnsi="Calibri"/>
          <w:b/>
          <w:color w:val="4A6B25"/>
          <w:sz w:val="20"/>
        </w:rPr>
        <w:t xml:space="preserve">3. </w:t>
      </w:r>
      <w:r>
        <w:rPr>
          <w:rFonts w:ascii="Calibri" w:hAnsi="Calibri"/>
          <w:b w:val="0"/>
          <w:color w:val="3A4A28"/>
          <w:sz w:val="20"/>
        </w:rPr>
        <w:t>No allogeneic CAR-T therapy has achieved FDA approval to date, creating regulatory pathway uncertainty for the entire modality regardless of clinical efficacy data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 PROTECTED): Caribou's core business of developing allogeneic CRISPR-edited cell therapies involves wet-lab biology, clinical trials, and manufacturing processes that AI cannot substitute [1]. The physical-world nature of cell therapy production — harvesting donor cells, genome editing, quality control, and patient infusion — creates structural barriers to AI disruption. While AI tools may accelerate target discovery and clinical trial design at the margins, they cannot replace the fundamental biological R&amp;D and regulatory pathway. AI Opportunity (0/1): No evidence of AI-generated revenue; the chRDNA platform is a molecular biology tool, not a computational AI product.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Caribou Biosciences Q4/FY2025 Earnings Release and Business Update, March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CRBU key statistics,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Glassdoor — Caribou Biosciences employee reviews,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