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CRC</w:t>
      </w:r>
      <w:r>
        <w:rPr>
          <w:rFonts w:ascii="Calibri" w:hAnsi="Calibri"/>
          <w:b/>
          <w:color w:val="1A2010"/>
          <w:sz w:val="40"/>
        </w:rPr>
        <w:t xml:space="preserve">  California Resources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2026-05-06 · Inspire: 47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E&amp;P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California Resources Corporation is an independent energy and carbon management company operating exclusively within California. It is the largest oil and natural gas E&amp;P company in California on a gross-operated basis, with operations in two segments: Oil and Natural Gas, and Carbon Management (Carbon TerraVault CCS). The company was incorporated in 2014 and is based in Long Beach, California.</w:t>
      </w:r>
    </w:p>
    <w:p>
      <w:r>
        <w:rPr>
          <w:rFonts w:ascii="Calibri" w:hAnsi="Calibri"/>
          <w:b/>
          <w:color w:val="6E8450"/>
          <w:sz w:val="18"/>
        </w:rPr>
        <w:t>2,500 Employees · https://www.crc.com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CRC's Carbon TerraVault carbon capture and storage (CCS) initiative positions it as a pioneer among E&amp;P companies transitioning to carbon management, leveraging existing geological assets for CO2 sequestration [1]. The company raised 2026 adjusted EBITDAX guidance by 42% to a $1,450M midpoint, reflecting operational efficiency gains and increased drilling activity [1]. Production of 154 MBoe/d (81% oil) demonstrates technical capability, and the plan to accelerate H2 2026 drilling activity shows pipeline momentum, though the core business remains conventional California oil production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Francisco Leon (appointed April 2023, $7.99M total comp) has driven strategic transformation toward carbon management, but Glassdoor reviews paint a troubled picture with a 2.9/5 rating across 186 reviews [3]. Employees report toxic culture at senior VP levels, retaliation against dissent, and leadership primarily focused on stock price appreciation rather than mission [3]. Only 38% of employees would recommend CRC as a workplace, significantly below industry norms. The Net Zero 2045 commitment provides aspirational direction but internal culture appears misaligned.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CRC trades at an attractive 14.4× forward P/E with manageable 37% debt-to-equity and $1,276M liquidity [1][2]. ROE of 10.1% is moderate, and profit margin of 10.7% reflects California's higher operating costs versus Permian peers [2]. Revenue declined 13.8% YoY in Q4 due to commodity price headwinds and portfolio adjustments, but the 42% EBITDAX guidance raise for 2026 signals strong forward momentum [1]. The 2.3% dividend yield with 37.8% payout ratio and consecutive growth since 2021 provides income support.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CRC's Carbon TerraVault initiative and Net Zero 2045 commitment demonstrate long-term thinking beyond quarterly oil production, but the toxic internal culture reported by employees and CEO compensation focus on stock price appreciation undermine the infinite game mindset.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Carbon TerraVault CCS initiative and Net Zero 2045 goal articulate a just cause of responsible energy production with carbon management, transcending pure extraction economics [1]. CRC's commitment to 80% absolute Scope 1 and 2 emissions reduction is among the most ambitious in the E&amp;P sector. However, the core business remains fossil fuel production, creating an inherent tension. (2 of 3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Glassdoor's 2.9/5 rating with only 38% recommending CRC as a workplace indicates significant trust deficits [3]. Employee reviews cite toxic senior VP culture, retaliation against dissent, and finance/accounting leadership described as 'dreadful.' These signals suggest internal trust is severely impaired despite the company's transformational strategy. (0 of 2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CRC competes against major Permian basin operators with lower costs and uses this competitive pressure to drive operational efficiency and differentiate through carbon management capabilities [1]. The company acknowledges California's regulatory challenges and uses them as a catalyst for CCS innovation rather than retreating from the market. (1 of 1 pt)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from pure E&amp;P to energy and carbon management through Carbon TerraVault demonstrates meaningful existential flexibility, as does the Aera Energy acquisition that consolidated California operations [1]. However, the company remains geographically concentrated in California with no diversification into other basins or energy forms beyond CCS. (1 of 2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While the Carbon TerraVault strategy requires courage, the internal culture problems revealed on Glassdoor — retaliation against dissent, toxic VP dynamics — suggest leadership lacks the courage to address organizational dysfunction [3]. CEO compensation structure heavily weighted to stock-based incentives (89.6% bonuses) may prioritize short-term price over long-term organizational health. (0 of 2 pts)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CRC offers a differentiated energy investment as California's largest oil producer with an emerging carbon management platform. The 42% increase in 2026 EBITDAX guidance to $1,450M midpoint reflects operational momentum from increased drilling activity and improved efficiencies [1]. At 14.4× forward P/E with $1,276M liquidity and a growing dividend (2.3% yield), CRC provides value characteristics with optionality from Carbon TerraVault CCS — a potential multi-billion dollar asset as carbon credit markets mature [1]. Production of 154 MBoe/d (81% oil) with plans to exit 2026 at ~175 MBoe/d demonstrates growth trajectory.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California concentration risk: the state's aggressive regulatory environment increases compliance costs and could restrict future drilling permits. Revenue declined 13.8% YoY and EPS fell 61.5%, with Q1 2026 sales missing analyst estimates despite the EBITDAX guidance raise [1]. Glassdoor reviews revealing toxic culture (2.9/5, 38% recommend) and retaliation dynamics could impair execution during the critical CCS buildout phase [3]. Carbon TerraVault's commercial viability depends on carbon credit pricing and regulatory frameworks that remain uncertain. The company's post-bankruptcy history (emerged 2020) and limited operating track record under current management add execution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42% EBITDAX guidance raise to $1,450M midpoint with accelerated H2 2026 drilling activity building momentum into 2027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Carbon TerraVault CCS commercialization progress as carbon credit markets develop under California's cap-and-trade system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Production growth trajectory targeting ~175 MBoe/d exit rate in 2026, representing ~1% entry-to-exit growth with upside from expanded drilling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California regulatory concentration risk — restrictive drilling permits, environmental regulations, and compliance costs could constrain production growth and margins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Commodity price sensitivity with 81% oil production mix and no geographic diversification to hedge against California-specific pricing dislocations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Severely impaired organizational culture (2.9/5 Glassdoor, 38% recommend) and toxic leadership dynamics could undermine execution of the CCS transformation strategy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Oil and gas E&amp;P has moderate AI exposure — AI-driven predictive analytics can optimize drilling operations, reservoir modeling, and production efficiency, serving as an operational enabler for CRC's California-focused operations [2]. The Carbon TerraVault CCS business could benefit from AI-enhanced CO2 monitoring and geological modeling. However, AI-accelerated energy transition modeling and EV adoption forecasting could compress long-term demand assumptions for California crude. The physical nature of hydrocarbon extraction limits direct AI displacement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California Resources Corporation Q1 2026 Financial and Operating Results Press Release, May 5,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CRC key statistics,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California Resources Corporation Glassdoor reviews, corporate website, and leadership profiles, accessed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