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CRDF</w:t>
      </w:r>
      <w:r>
        <w:rPr>
          <w:rFonts w:ascii="Calibri" w:hAnsi="Calibri"/>
          <w:b/>
          <w:color w:val="1A2010"/>
          <w:sz w:val="40"/>
        </w:rPr>
        <w:t xml:space="preserve">  Cardiff Oncology,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2026-05-02 · Inspire: 28 · DEVELOPING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Cardiff Oncology, Inc. is a clinical-stage biotechnology company developing novel cancer therapies based on PLK1 inhibition. Its lead asset, onvansertib, is an oral, highly selective PLK1 inhibitor being evaluated for first-line treatment of RAS-mutated metastatic colorectal cancer.</w:t>
      </w:r>
    </w:p>
    <w:p>
      <w:r>
        <w:rPr>
          <w:rFonts w:ascii="Calibri" w:hAnsi="Calibri"/>
          <w:b/>
          <w:color w:val="6E8450"/>
          <w:sz w:val="18"/>
        </w:rPr>
        <w:t>65 Employees · https://www.cardiffoncology.com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Onvansertib demonstrated a compelling 72.2% overall response rate (vs. 43.2% combined SOC) with significant PFS improvement (HR: 0.37, p&lt;0.05) in the Phase 2 CRDF-004 trial for RAS-mutated mCRC [1][2]. This represents a differentiated mechanism (first-in-class oral PLK1 inhibitor) addressing a large unmet need — RAS mutations occur in ~50% of mCRC patients. The company plans FDA discussions for a registrational program in H1 2026, and the scientific team includes former Eli Lilly/Pfizer oncology leadership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New CEO Mani Mohindru (April 2026) brings credible biotech leadership experience from CereXis, Cara Therapeutics, and prior equity research coverage of the sector [3]. The leadership transition signals a shift from research-stage to late-stage commercial readiness. CSO Dr. Smeal (ex-Eli Lilly, Pfizer) anchors scientific credibility [3]. However, the company is too small (~65 employees) for meaningful culture assessment, and the frequent leadership changes create some concern about stability.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Cardiff is pre-revenue with $79.9M cash (as of Q1 2025) providing runway into Q1 2027 [1]. Operating burn rate of ~$12.8M/quarter means the company will need additional financing before a potential product launch, likely via dilutive equity raises [1]. No revenue, negative ROE (-71.5%), and $117M market cap reflect high binary risk. Liquidity floor is met (720K x $1.71 = $1.23M daily) but barely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DEVELOPING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Cardiff demonstrates elements of infinite-game thinking through its focused pursuit of a potentially transformative cancer therapy, though its single-asset dependency and frequent leadership transitions reflect the pragmatic survival mode typical of clinical-stage biotechs.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mission to improve outcomes for RAS-mutated colorectal cancer patients — an underserved population with limited treatment options — represents a genuine just cause [1]. The Phase 2 data showing 72.2% ORR vs. 43.2% SOC demonstrates real potential to change the standard of care for thousands of patients annually, giving the scientific effort ethical weight beyond financial returns.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January 2026 leadership transition (new CEO, COO appointments) as the company moves toward registrational trials creates uncertainty about team cohesion [3]. Cardiff has cycled through leadership in its transition from early-stage to late-stage development. The small team size enables tight collaboration but also creates key-person risk and limits organizational resilience.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Cardiff competes against established mCRC treatments (FOLFIRI/bevacizumab combinations) and emerging competitors like Mirati Therapeutics (KRAS G12C inhibitors) [1]. The company has positioned itself differentlyby targeting broader RAS mutations rather than specific KRAS subtypes, showing strategic awareness of competitive positioning while maintaining focus on its clinical differentiation.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Cardiff has narrowed from a multi-indication strategy to focus resources on the highest-probability mCRC indication after seeing strong Phase 2 results [1]. This disciplined prioritization shows flexibility to concentrate capital where data is strongest. However, as a single-asset company, true existential flexibility is limited — the entire value proposition hinges on one drug's regulatory fate.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decision to pursue a registrational program based on Phase 2 data showing statistical significance (p&lt;0.05) demonstrates conviction in the science [1]. The leadership transition to a commercial-focused CEO (Mohindru) ahead of potential approval shows forward planning. However, the company has yet to prove it can execute a commercial launch or navigate the final regulatory hurdles independently.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Cardiff Oncology represents a high-risk/high-reward clinical-stage biotech with genuinely promising Phase 2 data for onvansertib in RAS-mutated mCRC (72.2% ORR, HR 0.37 for PFS). The first-in-class oral PLK1 inhibitor addresses a significant unmet need affecting ~50% of mCRC patients, and FDA registrational discussions planned for H1 2026 could be a near-term catalyst.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investment is binary: success in a registrational trial could deliver transformative upside from a $117M market cap, while failure or additional financing needs could significantly dilute or destroy shareholder value. With only $79.9M cash and ~$12.8M quarterly burn, the company will likely need to raise capital before any commercial revenue. Appropriate only for investors with high risk tolerance and conviction in the Phase 2 data's predictive value for Phase 3 outcomes.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FDA feedback on registrational pathway in H1 2026 — positive guidance could de-risk the regulatory path and trigger re-rating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Initiation of registrational Phase 3 trial for 30mg onvansertib + FOLFIRI/bevacizumab in first-line RAS-mutated mCRC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partnership or licensing deal with larger oncology company to fund late-stage development and commercialization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Phase 3 trial failure to replicate Phase 2 ORR/PFS results, destroying the single-asset thesis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Dilutive capital raise required before product revenue, with only ~5 quarters of runway remaining at current burn rate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Competitive threat from KRAS-targeted therapies (sotorasib, adagrasib) potentially narrowing the addressable market for broad RAS approaches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NEUTRAL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has minimal direct competitive threat to Cardiff's clinical-stage drug development — the moat is proprietary clinical data and FDA-regulated approval pathways, not easily disrupted by technology [4]. AI could theoretically accelerate competitor drug discovery in PLK1 space, but Cardiff's advanced clinical data (Phase 2 complete) provides meaningful time advantage. AI-enabled tools may help Cardiff optimize trial design and patient stratification for the registrational study, serving as a modest enabler rather than disruptor.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28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Cardiff Oncology Full Year 2025 Results and Business Update, GlobeNewsWire,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Cardiff Oncology Q1 2025 Results — Phase 2 CRDF-004 Data Update, May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Cardiff Oncology Executive Leadership Changes Announcement, GlobeNewsWire,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— CRDF key statistics, accessed May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